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3F3CB" w14:textId="36D0AB4B" w:rsidR="0005203E" w:rsidRDefault="0005203E" w:rsidP="00A961C6">
      <w:pPr>
        <w:spacing w:after="0"/>
        <w:rPr>
          <w:rFonts w:ascii="Arial" w:hAnsi="Arial" w:cs="Arial"/>
          <w:b/>
        </w:rPr>
      </w:pPr>
      <w:r>
        <w:rPr>
          <w:rFonts w:ascii="Arial" w:hAnsi="Arial"/>
          <w:b/>
        </w:rPr>
        <w:t>Anlage [Matrix zur Auslegung der Richtlinien nach §</w:t>
      </w:r>
      <w:r w:rsidR="000C0C8E">
        <w:rPr>
          <w:rFonts w:ascii="Arial" w:hAnsi="Arial"/>
          <w:b/>
        </w:rPr>
        <w:t xml:space="preserve"> </w:t>
      </w:r>
      <w:r>
        <w:rPr>
          <w:rFonts w:ascii="Arial" w:hAnsi="Arial"/>
          <w:b/>
        </w:rPr>
        <w:t>71 Abs. 5 SGB XI] zu § 82 Abs.5 LRV</w:t>
      </w:r>
    </w:p>
    <w:p w14:paraId="47E6C5C3" w14:textId="09CB6D28" w:rsidR="0005203E" w:rsidRDefault="0005203E" w:rsidP="00A961C6">
      <w:pPr>
        <w:spacing w:after="0"/>
        <w:rPr>
          <w:rFonts w:ascii="Arial" w:hAnsi="Arial" w:cs="Arial"/>
          <w:b/>
        </w:rPr>
      </w:pPr>
    </w:p>
    <w:p w14:paraId="5C2740BE" w14:textId="77777777" w:rsidR="0005203E" w:rsidRDefault="0005203E" w:rsidP="00A961C6">
      <w:pPr>
        <w:spacing w:after="0"/>
        <w:rPr>
          <w:rFonts w:ascii="Arial" w:hAnsi="Arial" w:cs="Arial"/>
          <w:b/>
        </w:rPr>
      </w:pPr>
    </w:p>
    <w:p w14:paraId="4C985CE8" w14:textId="033CA085" w:rsidR="00B46F22" w:rsidRPr="00A961C6" w:rsidRDefault="00AB6D43" w:rsidP="00A961C6">
      <w:pPr>
        <w:spacing w:after="0"/>
        <w:rPr>
          <w:rFonts w:ascii="Arial" w:hAnsi="Arial" w:cs="Arial"/>
          <w:b/>
        </w:rPr>
      </w:pPr>
      <w:r>
        <w:rPr>
          <w:rFonts w:ascii="Arial" w:hAnsi="Arial" w:cs="Arial"/>
          <w:b/>
        </w:rPr>
        <w:t>Einleitung z</w:t>
      </w:r>
      <w:r w:rsidR="00A961C6" w:rsidRPr="00A961C6">
        <w:rPr>
          <w:rFonts w:ascii="Arial" w:hAnsi="Arial" w:cs="Arial"/>
          <w:b/>
        </w:rPr>
        <w:t>um Verständnis der Matrix</w:t>
      </w:r>
    </w:p>
    <w:p w14:paraId="0C311523" w14:textId="232CBD6D" w:rsidR="00B46F22" w:rsidRPr="000871FF" w:rsidRDefault="61691FA0" w:rsidP="000871FF">
      <w:pPr>
        <w:spacing w:after="0"/>
        <w:rPr>
          <w:rFonts w:ascii="Arial" w:hAnsi="Arial" w:cs="Arial"/>
        </w:rPr>
      </w:pPr>
      <w:r w:rsidRPr="000871FF">
        <w:rPr>
          <w:rFonts w:ascii="Arial" w:hAnsi="Arial" w:cs="Arial"/>
        </w:rPr>
        <w:t>Durch die</w:t>
      </w:r>
      <w:r w:rsidR="00106DDD" w:rsidRPr="000871FF">
        <w:rPr>
          <w:rFonts w:ascii="Arial" w:hAnsi="Arial" w:cs="Arial"/>
        </w:rPr>
        <w:t xml:space="preserve"> </w:t>
      </w:r>
      <w:r w:rsidR="00121212" w:rsidRPr="000871FF">
        <w:rPr>
          <w:rFonts w:ascii="Arial" w:hAnsi="Arial" w:cs="Arial"/>
        </w:rPr>
        <w:t xml:space="preserve">die Aufhebung der ambulanten und stationären Settings durch das BTHG </w:t>
      </w:r>
      <w:r w:rsidR="000A646D" w:rsidRPr="000871FF">
        <w:rPr>
          <w:rFonts w:ascii="Arial" w:hAnsi="Arial" w:cs="Arial"/>
        </w:rPr>
        <w:t xml:space="preserve">im SGB IX </w:t>
      </w:r>
      <w:r w:rsidR="00121212" w:rsidRPr="000871FF">
        <w:rPr>
          <w:rFonts w:ascii="Arial" w:hAnsi="Arial" w:cs="Arial"/>
        </w:rPr>
        <w:t>wird eine neue</w:t>
      </w:r>
      <w:r w:rsidR="0033380F" w:rsidRPr="000871FF">
        <w:rPr>
          <w:rFonts w:ascii="Arial" w:hAnsi="Arial" w:cs="Arial"/>
        </w:rPr>
        <w:t xml:space="preserve"> Art der </w:t>
      </w:r>
      <w:r w:rsidR="00121212" w:rsidRPr="000871FF">
        <w:rPr>
          <w:rFonts w:ascii="Arial" w:hAnsi="Arial" w:cs="Arial"/>
        </w:rPr>
        <w:t>Zuordnung</w:t>
      </w:r>
      <w:r w:rsidR="0033380F" w:rsidRPr="000871FF">
        <w:rPr>
          <w:rFonts w:ascii="Arial" w:hAnsi="Arial" w:cs="Arial"/>
        </w:rPr>
        <w:t xml:space="preserve"> unter den </w:t>
      </w:r>
      <w:r w:rsidR="002D5E80" w:rsidRPr="000871FF">
        <w:rPr>
          <w:rFonts w:ascii="Arial" w:hAnsi="Arial" w:cs="Arial"/>
        </w:rPr>
        <w:br/>
      </w:r>
      <w:r w:rsidR="0033380F" w:rsidRPr="000871FF">
        <w:rPr>
          <w:rFonts w:ascii="Arial" w:hAnsi="Arial" w:cs="Arial"/>
        </w:rPr>
        <w:t>§</w:t>
      </w:r>
      <w:r w:rsidR="002D5E80" w:rsidRPr="000871FF">
        <w:rPr>
          <w:rFonts w:ascii="Arial" w:hAnsi="Arial" w:cs="Arial"/>
        </w:rPr>
        <w:t xml:space="preserve"> </w:t>
      </w:r>
      <w:r w:rsidR="0033380F" w:rsidRPr="000871FF">
        <w:rPr>
          <w:rFonts w:ascii="Arial" w:hAnsi="Arial" w:cs="Arial"/>
        </w:rPr>
        <w:t>43a SGB X</w:t>
      </w:r>
      <w:r w:rsidR="007707C0" w:rsidRPr="000871FF">
        <w:rPr>
          <w:rFonts w:ascii="Arial" w:hAnsi="Arial" w:cs="Arial"/>
        </w:rPr>
        <w:t>I</w:t>
      </w:r>
      <w:r w:rsidR="003D4165" w:rsidRPr="000871FF">
        <w:rPr>
          <w:rFonts w:ascii="Arial" w:hAnsi="Arial" w:cs="Arial"/>
        </w:rPr>
        <w:t xml:space="preserve"> </w:t>
      </w:r>
      <w:proofErr w:type="spellStart"/>
      <w:r w:rsidR="004F66BB" w:rsidRPr="000871FF">
        <w:rPr>
          <w:rFonts w:ascii="Arial" w:hAnsi="Arial" w:cs="Arial"/>
        </w:rPr>
        <w:t>i.V.m</w:t>
      </w:r>
      <w:proofErr w:type="spellEnd"/>
      <w:r w:rsidR="004F66BB" w:rsidRPr="000871FF">
        <w:rPr>
          <w:rFonts w:ascii="Arial" w:hAnsi="Arial" w:cs="Arial"/>
        </w:rPr>
        <w:t xml:space="preserve">. § 71 Abs.4 SGB XI </w:t>
      </w:r>
      <w:r w:rsidR="003D4165" w:rsidRPr="000871FF">
        <w:rPr>
          <w:rFonts w:ascii="Arial" w:hAnsi="Arial" w:cs="Arial"/>
        </w:rPr>
        <w:t>notwendig</w:t>
      </w:r>
      <w:r w:rsidR="00121212" w:rsidRPr="000871FF">
        <w:rPr>
          <w:rFonts w:ascii="Arial" w:hAnsi="Arial" w:cs="Arial"/>
        </w:rPr>
        <w:t xml:space="preserve">, möglichst </w:t>
      </w:r>
      <w:r w:rsidR="001669C7" w:rsidRPr="000871FF">
        <w:rPr>
          <w:rFonts w:ascii="Arial" w:hAnsi="Arial" w:cs="Arial"/>
        </w:rPr>
        <w:t xml:space="preserve">ohne </w:t>
      </w:r>
      <w:r w:rsidR="008528F7" w:rsidRPr="000871FF">
        <w:rPr>
          <w:rFonts w:ascii="Arial" w:hAnsi="Arial" w:cs="Arial"/>
        </w:rPr>
        <w:t>Aus</w:t>
      </w:r>
      <w:r w:rsidR="009E02B4" w:rsidRPr="000871FF">
        <w:rPr>
          <w:rFonts w:ascii="Arial" w:hAnsi="Arial" w:cs="Arial"/>
        </w:rPr>
        <w:t>weitung oder Reduktion der Anwendung des § 43a SGB XI</w:t>
      </w:r>
      <w:r w:rsidR="001669C7" w:rsidRPr="000871FF">
        <w:rPr>
          <w:rFonts w:ascii="Arial" w:hAnsi="Arial" w:cs="Arial"/>
        </w:rPr>
        <w:t xml:space="preserve"> </w:t>
      </w:r>
      <w:r w:rsidR="009273DE" w:rsidRPr="000871FF">
        <w:rPr>
          <w:rFonts w:ascii="Arial" w:hAnsi="Arial" w:cs="Arial"/>
        </w:rPr>
        <w:t>im Vergleich zum Zeitpunkt vor den rechtlichen Veränderungen</w:t>
      </w:r>
      <w:r w:rsidR="00614E3D" w:rsidRPr="000871FF">
        <w:rPr>
          <w:rFonts w:ascii="Arial" w:hAnsi="Arial" w:cs="Arial"/>
        </w:rPr>
        <w:t>.</w:t>
      </w:r>
      <w:r w:rsidR="00C76F1F" w:rsidRPr="000871FF">
        <w:rPr>
          <w:rFonts w:ascii="Arial" w:hAnsi="Arial" w:cs="Arial"/>
        </w:rPr>
        <w:t xml:space="preserve"> </w:t>
      </w:r>
    </w:p>
    <w:p w14:paraId="28F8D6D7" w14:textId="42163F83" w:rsidR="00A46896" w:rsidRPr="000871FF" w:rsidRDefault="00B85169" w:rsidP="000871FF">
      <w:pPr>
        <w:spacing w:after="0"/>
        <w:rPr>
          <w:rFonts w:ascii="Arial" w:hAnsi="Arial" w:cs="Arial"/>
        </w:rPr>
      </w:pPr>
      <w:r w:rsidRPr="000871FF">
        <w:rPr>
          <w:rFonts w:ascii="Arial" w:hAnsi="Arial" w:cs="Arial"/>
        </w:rPr>
        <w:t xml:space="preserve">Die Kriterien zur </w:t>
      </w:r>
      <w:r w:rsidR="00573D70" w:rsidRPr="000871FF">
        <w:rPr>
          <w:rFonts w:ascii="Arial" w:hAnsi="Arial" w:cs="Arial"/>
        </w:rPr>
        <w:t xml:space="preserve">Abgrenzung </w:t>
      </w:r>
      <w:r w:rsidRPr="000871FF">
        <w:rPr>
          <w:rFonts w:ascii="Arial" w:hAnsi="Arial" w:cs="Arial"/>
        </w:rPr>
        <w:t>d</w:t>
      </w:r>
      <w:r w:rsidR="00573D70" w:rsidRPr="000871FF">
        <w:rPr>
          <w:rFonts w:ascii="Arial" w:hAnsi="Arial" w:cs="Arial"/>
        </w:rPr>
        <w:t xml:space="preserve">es Settings </w:t>
      </w:r>
      <w:r w:rsidR="000B1A95" w:rsidRPr="000871FF">
        <w:rPr>
          <w:rFonts w:ascii="Arial" w:hAnsi="Arial" w:cs="Arial"/>
        </w:rPr>
        <w:t>zur Anwendung des § 43a SGB XI sind vom GKV-</w:t>
      </w:r>
      <w:r w:rsidR="002F1100" w:rsidRPr="000871FF">
        <w:rPr>
          <w:rFonts w:ascii="Arial" w:hAnsi="Arial" w:cs="Arial"/>
        </w:rPr>
        <w:t>Spitzenverb</w:t>
      </w:r>
      <w:r w:rsidR="000B1A95" w:rsidRPr="000871FF">
        <w:rPr>
          <w:rFonts w:ascii="Arial" w:hAnsi="Arial" w:cs="Arial"/>
        </w:rPr>
        <w:t>and</w:t>
      </w:r>
      <w:r w:rsidR="002F1100" w:rsidRPr="000871FF">
        <w:rPr>
          <w:rFonts w:ascii="Arial" w:hAnsi="Arial" w:cs="Arial"/>
        </w:rPr>
        <w:t xml:space="preserve"> </w:t>
      </w:r>
      <w:r w:rsidR="000B1A95" w:rsidRPr="000871FF">
        <w:rPr>
          <w:rFonts w:ascii="Arial" w:hAnsi="Arial" w:cs="Arial"/>
        </w:rPr>
        <w:t xml:space="preserve">in den </w:t>
      </w:r>
      <w:r w:rsidR="2238448A" w:rsidRPr="000871FF">
        <w:rPr>
          <w:rFonts w:ascii="Arial" w:hAnsi="Arial" w:cs="Arial"/>
        </w:rPr>
        <w:t>“</w:t>
      </w:r>
      <w:r w:rsidR="000B1A95" w:rsidRPr="000871FF">
        <w:rPr>
          <w:rFonts w:ascii="Arial" w:hAnsi="Arial" w:cs="Arial"/>
        </w:rPr>
        <w:t xml:space="preserve">Richtlinien nach § 71 Abs. 5 </w:t>
      </w:r>
      <w:r w:rsidR="007B46C3" w:rsidRPr="000871FF">
        <w:rPr>
          <w:rFonts w:ascii="Arial" w:hAnsi="Arial" w:cs="Arial"/>
        </w:rPr>
        <w:t xml:space="preserve">S. 1 SGB XI </w:t>
      </w:r>
      <w:r w:rsidR="59F2EE84" w:rsidRPr="000871FF">
        <w:rPr>
          <w:rFonts w:ascii="Arial" w:hAnsi="Arial" w:cs="Arial"/>
        </w:rPr>
        <w:t xml:space="preserve">zur näheren </w:t>
      </w:r>
      <w:r w:rsidR="0D1E35D7" w:rsidRPr="000871FF">
        <w:rPr>
          <w:rFonts w:ascii="Arial" w:hAnsi="Arial" w:cs="Arial"/>
        </w:rPr>
        <w:t>Abgrenzung der in § 71 Abs. 4 Nr. 3 c SGB XI genannten Merkmale”</w:t>
      </w:r>
      <w:r w:rsidR="007B46C3" w:rsidRPr="000871FF">
        <w:rPr>
          <w:rFonts w:ascii="Arial" w:hAnsi="Arial" w:cs="Arial"/>
        </w:rPr>
        <w:t xml:space="preserve"> </w:t>
      </w:r>
      <w:r w:rsidR="000B1A95" w:rsidRPr="000871FF">
        <w:rPr>
          <w:rFonts w:ascii="Arial" w:hAnsi="Arial" w:cs="Arial"/>
        </w:rPr>
        <w:t>festgelegt worden.</w:t>
      </w:r>
    </w:p>
    <w:p w14:paraId="1092BFCF" w14:textId="77777777" w:rsidR="00A563BC" w:rsidRPr="000871FF" w:rsidRDefault="00C76F52" w:rsidP="000871FF">
      <w:pPr>
        <w:spacing w:after="0"/>
        <w:rPr>
          <w:rFonts w:ascii="Arial" w:hAnsi="Arial" w:cs="Arial"/>
        </w:rPr>
      </w:pPr>
      <w:r w:rsidRPr="000871FF">
        <w:rPr>
          <w:rFonts w:ascii="Arial" w:hAnsi="Arial" w:cs="Arial"/>
        </w:rPr>
        <w:t xml:space="preserve">Bereits zum 31.12.2019 </w:t>
      </w:r>
      <w:r w:rsidRPr="000871FF">
        <w:rPr>
          <w:rFonts w:ascii="Arial" w:hAnsi="Arial" w:cs="Arial"/>
          <w:b/>
        </w:rPr>
        <w:t xml:space="preserve">bestehende </w:t>
      </w:r>
      <w:r w:rsidR="004F2D76" w:rsidRPr="000871FF">
        <w:rPr>
          <w:rFonts w:ascii="Arial" w:hAnsi="Arial" w:cs="Arial"/>
          <w:b/>
        </w:rPr>
        <w:t>Leistungsangebote</w:t>
      </w:r>
      <w:r w:rsidRPr="000871FF">
        <w:rPr>
          <w:rFonts w:ascii="Arial" w:hAnsi="Arial" w:cs="Arial"/>
        </w:rPr>
        <w:t xml:space="preserve"> </w:t>
      </w:r>
      <w:r w:rsidR="004F2D76" w:rsidRPr="000871FF">
        <w:rPr>
          <w:rFonts w:ascii="Arial" w:hAnsi="Arial" w:cs="Arial"/>
        </w:rPr>
        <w:t xml:space="preserve">müssen nur bei </w:t>
      </w:r>
      <w:r w:rsidR="00E37946" w:rsidRPr="000871FF">
        <w:rPr>
          <w:rFonts w:ascii="Arial" w:hAnsi="Arial" w:cs="Arial"/>
        </w:rPr>
        <w:t xml:space="preserve">wesentlichen </w:t>
      </w:r>
      <w:r w:rsidR="004F2D76" w:rsidRPr="000871FF">
        <w:rPr>
          <w:rFonts w:ascii="Arial" w:hAnsi="Arial" w:cs="Arial"/>
        </w:rPr>
        <w:t xml:space="preserve">Veränderungen </w:t>
      </w:r>
      <w:r w:rsidR="00534638" w:rsidRPr="000871FF">
        <w:rPr>
          <w:rFonts w:ascii="Arial" w:hAnsi="Arial" w:cs="Arial"/>
        </w:rPr>
        <w:t>(</w:t>
      </w:r>
      <w:r w:rsidR="00307928" w:rsidRPr="000871FF">
        <w:rPr>
          <w:rFonts w:ascii="Arial" w:hAnsi="Arial" w:cs="Arial"/>
        </w:rPr>
        <w:t xml:space="preserve">RL nach § 71 Abs. 4, 5 SGB XI) </w:t>
      </w:r>
      <w:r w:rsidR="004F2D76" w:rsidRPr="000871FF">
        <w:rPr>
          <w:rFonts w:ascii="Arial" w:hAnsi="Arial" w:cs="Arial"/>
        </w:rPr>
        <w:t xml:space="preserve">überprüft werden. </w:t>
      </w:r>
    </w:p>
    <w:p w14:paraId="3CFCA730" w14:textId="28939A6E" w:rsidR="009273DE" w:rsidRDefault="009273DE" w:rsidP="00D409E7">
      <w:pPr>
        <w:spacing w:after="0"/>
        <w:rPr>
          <w:rFonts w:ascii="Arial" w:hAnsi="Arial" w:cs="Arial"/>
        </w:rPr>
      </w:pPr>
      <w:r w:rsidRPr="000871FF">
        <w:rPr>
          <w:rFonts w:ascii="Arial" w:hAnsi="Arial" w:cs="Arial"/>
          <w:b/>
        </w:rPr>
        <w:t xml:space="preserve">Neue </w:t>
      </w:r>
      <w:r w:rsidR="00A563BC" w:rsidRPr="000871FF">
        <w:rPr>
          <w:rFonts w:ascii="Arial" w:hAnsi="Arial" w:cs="Arial"/>
          <w:b/>
        </w:rPr>
        <w:t>Leistungsangebote</w:t>
      </w:r>
      <w:r w:rsidR="00A563BC" w:rsidRPr="000871FF">
        <w:rPr>
          <w:rFonts w:ascii="Arial" w:hAnsi="Arial" w:cs="Arial"/>
        </w:rPr>
        <w:t xml:space="preserve"> </w:t>
      </w:r>
      <w:r w:rsidRPr="000871FF">
        <w:rPr>
          <w:rFonts w:ascii="Arial" w:hAnsi="Arial" w:cs="Arial"/>
        </w:rPr>
        <w:t xml:space="preserve">müssen daraufhin </w:t>
      </w:r>
      <w:r w:rsidR="00381432" w:rsidRPr="000871FF">
        <w:rPr>
          <w:rFonts w:ascii="Arial" w:hAnsi="Arial" w:cs="Arial"/>
        </w:rPr>
        <w:t xml:space="preserve">anhand der </w:t>
      </w:r>
      <w:r w:rsidR="002B5C61" w:rsidRPr="000871FF">
        <w:rPr>
          <w:rFonts w:ascii="Arial" w:hAnsi="Arial" w:cs="Arial"/>
        </w:rPr>
        <w:t xml:space="preserve">Bestimmungen aus dem § 71 Abs. 4 </w:t>
      </w:r>
      <w:r w:rsidR="6D2B6B2D" w:rsidRPr="000871FF">
        <w:rPr>
          <w:rFonts w:ascii="Arial" w:hAnsi="Arial" w:cs="Arial"/>
        </w:rPr>
        <w:t>Nr. 3</w:t>
      </w:r>
      <w:r w:rsidR="002B5C61" w:rsidRPr="000871FF">
        <w:rPr>
          <w:rFonts w:ascii="Arial" w:hAnsi="Arial" w:cs="Arial"/>
        </w:rPr>
        <w:t xml:space="preserve"> SGB XI sowie der </w:t>
      </w:r>
      <w:r w:rsidR="00381432" w:rsidRPr="000871FF">
        <w:rPr>
          <w:rFonts w:ascii="Arial" w:hAnsi="Arial" w:cs="Arial"/>
        </w:rPr>
        <w:t>Merkmale aus diesen Richtlinien bewertet werden.</w:t>
      </w:r>
      <w:r w:rsidR="00FD28EB" w:rsidRPr="000871FF">
        <w:rPr>
          <w:rFonts w:ascii="Arial" w:hAnsi="Arial" w:cs="Arial"/>
        </w:rPr>
        <w:t xml:space="preserve"> Diese </w:t>
      </w:r>
      <w:r w:rsidR="00295460" w:rsidRPr="000871FF">
        <w:rPr>
          <w:rFonts w:ascii="Arial" w:hAnsi="Arial" w:cs="Arial"/>
        </w:rPr>
        <w:t>Merkmale</w:t>
      </w:r>
      <w:r w:rsidR="00FD28EB" w:rsidRPr="000871FF">
        <w:rPr>
          <w:rFonts w:ascii="Arial" w:hAnsi="Arial" w:cs="Arial"/>
        </w:rPr>
        <w:t xml:space="preserve"> wurden in die Matrix übernommen und </w:t>
      </w:r>
      <w:r w:rsidR="00053B03" w:rsidRPr="000871FF">
        <w:rPr>
          <w:rFonts w:ascii="Arial" w:hAnsi="Arial" w:cs="Arial"/>
        </w:rPr>
        <w:t xml:space="preserve">fachlich ausdifferenziert sowie </w:t>
      </w:r>
      <w:r w:rsidR="00265711" w:rsidRPr="000871FF">
        <w:rPr>
          <w:rFonts w:ascii="Arial" w:hAnsi="Arial" w:cs="Arial"/>
        </w:rPr>
        <w:t>g</w:t>
      </w:r>
      <w:r w:rsidR="004120A4" w:rsidRPr="000871FF">
        <w:rPr>
          <w:rFonts w:ascii="Arial" w:hAnsi="Arial" w:cs="Arial"/>
        </w:rPr>
        <w:t>e</w:t>
      </w:r>
      <w:r w:rsidR="00265711" w:rsidRPr="000871FF">
        <w:rPr>
          <w:rFonts w:ascii="Arial" w:hAnsi="Arial" w:cs="Arial"/>
        </w:rPr>
        <w:t>wichtet</w:t>
      </w:r>
      <w:r w:rsidR="00053B03" w:rsidRPr="000871FF">
        <w:rPr>
          <w:rFonts w:ascii="Arial" w:hAnsi="Arial" w:cs="Arial"/>
        </w:rPr>
        <w:t>.</w:t>
      </w:r>
    </w:p>
    <w:p w14:paraId="583DEC95" w14:textId="77777777" w:rsidR="00D409E7" w:rsidRPr="000871FF" w:rsidRDefault="00D409E7" w:rsidP="000871FF">
      <w:pPr>
        <w:spacing w:after="0"/>
        <w:rPr>
          <w:rFonts w:ascii="Arial" w:hAnsi="Arial" w:cs="Arial"/>
        </w:rPr>
      </w:pPr>
    </w:p>
    <w:p w14:paraId="5204A5EC" w14:textId="0B3496B5" w:rsidR="006C6DBF" w:rsidRDefault="008E127C" w:rsidP="00B46F22">
      <w:pPr>
        <w:spacing w:after="0"/>
        <w:rPr>
          <w:rFonts w:ascii="Arial" w:hAnsi="Arial" w:cs="Arial"/>
        </w:rPr>
      </w:pPr>
      <w:r>
        <w:rPr>
          <w:rFonts w:ascii="Arial" w:hAnsi="Arial" w:cs="Arial"/>
          <w:b/>
        </w:rPr>
        <w:t xml:space="preserve">Systematik für </w:t>
      </w:r>
      <w:r w:rsidR="00712072">
        <w:rPr>
          <w:rFonts w:ascii="Arial" w:hAnsi="Arial" w:cs="Arial"/>
          <w:b/>
        </w:rPr>
        <w:t>die Interpretation in Baden-Württemberg</w:t>
      </w:r>
      <w:r w:rsidR="006C6DBF">
        <w:rPr>
          <w:rFonts w:ascii="Arial" w:hAnsi="Arial" w:cs="Arial"/>
          <w:b/>
        </w:rPr>
        <w:t xml:space="preserve"> zu § 71 Abs.</w:t>
      </w:r>
      <w:r w:rsidR="00391448">
        <w:rPr>
          <w:rFonts w:ascii="Arial" w:hAnsi="Arial" w:cs="Arial"/>
          <w:b/>
        </w:rPr>
        <w:t xml:space="preserve"> </w:t>
      </w:r>
      <w:r w:rsidR="006C6DBF">
        <w:rPr>
          <w:rFonts w:ascii="Arial" w:hAnsi="Arial" w:cs="Arial"/>
          <w:b/>
        </w:rPr>
        <w:t xml:space="preserve">4 Nr. 3 SGB XI </w:t>
      </w:r>
    </w:p>
    <w:p w14:paraId="592BB63F" w14:textId="737A75EF" w:rsidR="006C6DBF" w:rsidRPr="00E06FA3" w:rsidRDefault="006C6DBF" w:rsidP="00B46F22">
      <w:pPr>
        <w:spacing w:after="0"/>
        <w:rPr>
          <w:rFonts w:ascii="Arial" w:hAnsi="Arial" w:cs="Arial"/>
        </w:rPr>
      </w:pPr>
      <w:r>
        <w:rPr>
          <w:rFonts w:ascii="Arial" w:hAnsi="Arial" w:cs="Arial"/>
        </w:rPr>
        <w:t>Keine Pflegeeinrichtung im Sinne von § 71 Abs.2 sind Räuml</w:t>
      </w:r>
      <w:r w:rsidR="005C17BD">
        <w:rPr>
          <w:rFonts w:ascii="Arial" w:hAnsi="Arial" w:cs="Arial"/>
        </w:rPr>
        <w:t xml:space="preserve">ichkeiten, die die in Buchstaben a) bis c) genannten Merkmale </w:t>
      </w:r>
      <w:r w:rsidR="005C17BD" w:rsidRPr="005C17BD">
        <w:rPr>
          <w:rFonts w:ascii="Arial" w:hAnsi="Arial" w:cs="Arial"/>
          <w:b/>
        </w:rPr>
        <w:t xml:space="preserve">kumulativ </w:t>
      </w:r>
      <w:r w:rsidR="005C17BD" w:rsidRPr="005C17BD">
        <w:rPr>
          <w:rFonts w:ascii="Arial" w:hAnsi="Arial" w:cs="Arial"/>
        </w:rPr>
        <w:t>erfüllen</w:t>
      </w:r>
      <w:r w:rsidR="005364CC">
        <w:rPr>
          <w:rFonts w:ascii="Arial" w:hAnsi="Arial" w:cs="Arial"/>
        </w:rPr>
        <w:t xml:space="preserve"> </w:t>
      </w:r>
      <w:r w:rsidR="00D9493A">
        <w:rPr>
          <w:rStyle w:val="Funotenzeichen"/>
          <w:rFonts w:ascii="Arial" w:hAnsi="Arial" w:cs="Arial"/>
        </w:rPr>
        <w:footnoteReference w:id="2"/>
      </w:r>
    </w:p>
    <w:p w14:paraId="7CFB82F2" w14:textId="77777777" w:rsidR="006C6DBF" w:rsidRDefault="006C6DBF" w:rsidP="00B46F22">
      <w:pPr>
        <w:spacing w:after="0"/>
        <w:rPr>
          <w:rFonts w:ascii="Arial" w:hAnsi="Arial" w:cs="Arial"/>
        </w:rPr>
      </w:pPr>
    </w:p>
    <w:p w14:paraId="57DB8BFA" w14:textId="77777777" w:rsidR="005C17BD" w:rsidRDefault="005C17BD" w:rsidP="005C17BD">
      <w:pPr>
        <w:pStyle w:val="Listenabsatz"/>
        <w:numPr>
          <w:ilvl w:val="0"/>
          <w:numId w:val="1"/>
        </w:numPr>
        <w:spacing w:after="0"/>
        <w:rPr>
          <w:rFonts w:ascii="Arial" w:hAnsi="Arial" w:cs="Arial"/>
        </w:rPr>
      </w:pPr>
      <w:r>
        <w:rPr>
          <w:rFonts w:ascii="Arial" w:hAnsi="Arial" w:cs="Arial"/>
        </w:rPr>
        <w:t>der Zweck des Wohnens von Menschen mit Behinderungen und die Erbringung von Leistungen der EGH stehen im Vordergrund</w:t>
      </w:r>
    </w:p>
    <w:p w14:paraId="1C95DEA6" w14:textId="04D8DA09" w:rsidR="005C17BD" w:rsidRDefault="005C17BD" w:rsidP="005C17BD">
      <w:pPr>
        <w:pStyle w:val="Listenabsatz"/>
        <w:numPr>
          <w:ilvl w:val="0"/>
          <w:numId w:val="1"/>
        </w:numPr>
        <w:spacing w:after="0"/>
        <w:rPr>
          <w:rFonts w:ascii="Arial" w:hAnsi="Arial" w:cs="Arial"/>
        </w:rPr>
      </w:pPr>
      <w:r>
        <w:rPr>
          <w:rFonts w:ascii="Arial" w:hAnsi="Arial" w:cs="Arial"/>
        </w:rPr>
        <w:t>auf die Überlassung der Räumlichkeiten findet das WBVG Anwendung</w:t>
      </w:r>
    </w:p>
    <w:p w14:paraId="3C8B3E34" w14:textId="6ACAD5E7" w:rsidR="005C17BD" w:rsidRDefault="005C17BD" w:rsidP="003743F6">
      <w:pPr>
        <w:pStyle w:val="Listenabsatz"/>
        <w:numPr>
          <w:ilvl w:val="0"/>
          <w:numId w:val="1"/>
        </w:numPr>
        <w:spacing w:after="0"/>
        <w:rPr>
          <w:rFonts w:ascii="Arial" w:hAnsi="Arial" w:cs="Arial"/>
        </w:rPr>
      </w:pPr>
      <w:r>
        <w:rPr>
          <w:rFonts w:ascii="Arial" w:hAnsi="Arial" w:cs="Arial"/>
        </w:rPr>
        <w:t>der Umfang der Gesamtversorgung durch die Leistungserbringer erreicht regelmäßig einen Umfang, der weitgehend der Versorgung in einer vollstationären Einrichtung entspricht</w:t>
      </w:r>
      <w:r w:rsidR="003743F6">
        <w:rPr>
          <w:rFonts w:ascii="Arial" w:hAnsi="Arial" w:cs="Arial"/>
        </w:rPr>
        <w:t>.</w:t>
      </w:r>
      <w:r w:rsidR="003743F6" w:rsidRPr="003743F6">
        <w:rPr>
          <w:rFonts w:ascii="Arial" w:hAnsi="Arial" w:cs="Arial"/>
        </w:rPr>
        <w:t xml:space="preserve"> </w:t>
      </w:r>
      <w:r w:rsidR="003743F6">
        <w:rPr>
          <w:rFonts w:ascii="Arial" w:hAnsi="Arial" w:cs="Arial"/>
        </w:rPr>
        <w:t>Hier ist eine</w:t>
      </w:r>
      <w:r w:rsidR="005364CC">
        <w:rPr>
          <w:rFonts w:ascii="Arial" w:hAnsi="Arial" w:cs="Arial"/>
        </w:rPr>
        <w:t xml:space="preserve"> Gesamtbetracht</w:t>
      </w:r>
      <w:r w:rsidR="005A4C9A">
        <w:rPr>
          <w:rFonts w:ascii="Arial" w:hAnsi="Arial" w:cs="Arial"/>
        </w:rPr>
        <w:t>ung</w:t>
      </w:r>
      <w:r w:rsidR="005364CC">
        <w:rPr>
          <w:rFonts w:ascii="Arial" w:hAnsi="Arial" w:cs="Arial"/>
        </w:rPr>
        <w:t xml:space="preserve"> </w:t>
      </w:r>
      <w:r w:rsidR="53EE2702" w:rsidRPr="44C3F7FE">
        <w:rPr>
          <w:rFonts w:ascii="Arial" w:hAnsi="Arial" w:cs="Arial"/>
        </w:rPr>
        <w:t xml:space="preserve">im Sinne der Richtlinien </w:t>
      </w:r>
      <w:r w:rsidR="005364CC">
        <w:rPr>
          <w:rFonts w:ascii="Arial" w:hAnsi="Arial" w:cs="Arial"/>
        </w:rPr>
        <w:t>vorzunehmen</w:t>
      </w:r>
      <w:r w:rsidR="00560F64">
        <w:rPr>
          <w:rFonts w:ascii="Arial" w:hAnsi="Arial" w:cs="Arial"/>
        </w:rPr>
        <w:t>.</w:t>
      </w:r>
    </w:p>
    <w:p w14:paraId="44DE17B3" w14:textId="77777777" w:rsidR="005C17BD" w:rsidRDefault="005C17BD" w:rsidP="005C17BD">
      <w:pPr>
        <w:spacing w:after="0"/>
        <w:rPr>
          <w:rFonts w:ascii="Arial" w:hAnsi="Arial" w:cs="Arial"/>
        </w:rPr>
      </w:pPr>
    </w:p>
    <w:p w14:paraId="29FE93FE" w14:textId="4C7519BE" w:rsidR="00256EF8" w:rsidRPr="00256EF8" w:rsidRDefault="00256EF8" w:rsidP="005C17BD">
      <w:pPr>
        <w:spacing w:after="0"/>
        <w:rPr>
          <w:rFonts w:ascii="Arial" w:hAnsi="Arial" w:cs="Arial"/>
          <w:b/>
        </w:rPr>
      </w:pPr>
      <w:r w:rsidRPr="00256EF8">
        <w:rPr>
          <w:rFonts w:ascii="Arial" w:hAnsi="Arial" w:cs="Arial"/>
          <w:b/>
        </w:rPr>
        <w:t>Grundannahmen aus den Richtlinien</w:t>
      </w:r>
    </w:p>
    <w:p w14:paraId="0D22E92E" w14:textId="77777777" w:rsidR="007A7D42" w:rsidRPr="007A7D42" w:rsidRDefault="007A7D42" w:rsidP="007A7D42">
      <w:pPr>
        <w:pStyle w:val="Listenabsatz"/>
        <w:numPr>
          <w:ilvl w:val="0"/>
          <w:numId w:val="6"/>
        </w:numPr>
        <w:spacing w:after="0"/>
        <w:rPr>
          <w:rFonts w:ascii="Arial" w:hAnsi="Arial" w:cs="Arial"/>
        </w:rPr>
      </w:pPr>
      <w:r w:rsidRPr="007A7D42">
        <w:rPr>
          <w:rFonts w:ascii="Arial" w:hAnsi="Arial" w:cs="Arial"/>
          <w:bCs/>
        </w:rPr>
        <w:t>Leistungen müssen nicht vollumfänglich in Anspruch genommen werden. Maßgeblich sind vertraglich verpflichtendes Vorhalten und Vergüten von angebotenen Leistungen</w:t>
      </w:r>
      <w:r>
        <w:rPr>
          <w:rFonts w:ascii="Arial" w:hAnsi="Arial" w:cs="Arial"/>
          <w:bCs/>
        </w:rPr>
        <w:t>.</w:t>
      </w:r>
    </w:p>
    <w:p w14:paraId="0F585312" w14:textId="77777777" w:rsidR="007A7D42" w:rsidRDefault="007A7D42" w:rsidP="007A7D42">
      <w:pPr>
        <w:pStyle w:val="Listenabsatz"/>
        <w:numPr>
          <w:ilvl w:val="0"/>
          <w:numId w:val="6"/>
        </w:numPr>
        <w:spacing w:after="0"/>
        <w:rPr>
          <w:rFonts w:ascii="Arial" w:hAnsi="Arial" w:cs="Arial"/>
        </w:rPr>
      </w:pPr>
      <w:r>
        <w:rPr>
          <w:rFonts w:ascii="Arial" w:hAnsi="Arial" w:cs="Arial"/>
        </w:rPr>
        <w:t xml:space="preserve">Der/die </w:t>
      </w:r>
      <w:r w:rsidRPr="007A7D42">
        <w:rPr>
          <w:rFonts w:ascii="Arial" w:hAnsi="Arial" w:cs="Arial"/>
        </w:rPr>
        <w:t xml:space="preserve">Leistungserbringer </w:t>
      </w:r>
      <w:r>
        <w:rPr>
          <w:rFonts w:ascii="Arial" w:hAnsi="Arial" w:cs="Arial"/>
        </w:rPr>
        <w:t xml:space="preserve">tragen </w:t>
      </w:r>
      <w:r w:rsidRPr="007A7D42">
        <w:rPr>
          <w:rFonts w:ascii="Arial" w:hAnsi="Arial" w:cs="Arial"/>
        </w:rPr>
        <w:t xml:space="preserve">vom Einzug bis zum Auszug aus den Räumlichkeiten </w:t>
      </w:r>
      <w:r w:rsidRPr="007A08BA">
        <w:rPr>
          <w:rFonts w:ascii="Arial" w:hAnsi="Arial" w:cs="Arial"/>
          <w:u w:val="single"/>
        </w:rPr>
        <w:t>die Gesamtverantwortung</w:t>
      </w:r>
      <w:r w:rsidRPr="007A7D42">
        <w:rPr>
          <w:rFonts w:ascii="Arial" w:hAnsi="Arial" w:cs="Arial"/>
        </w:rPr>
        <w:t xml:space="preserve"> für die Erbringung der Leistungen zur täglichen Lebensführung</w:t>
      </w:r>
      <w:r>
        <w:rPr>
          <w:rFonts w:ascii="Arial" w:hAnsi="Arial" w:cs="Arial"/>
        </w:rPr>
        <w:t>.</w:t>
      </w:r>
    </w:p>
    <w:p w14:paraId="4A778659" w14:textId="309A9A7E" w:rsidR="009B5D2E" w:rsidRPr="007A7D42" w:rsidRDefault="009B5D2E" w:rsidP="007A7D42">
      <w:pPr>
        <w:pStyle w:val="Listenabsatz"/>
        <w:numPr>
          <w:ilvl w:val="0"/>
          <w:numId w:val="6"/>
        </w:numPr>
        <w:spacing w:after="0"/>
        <w:rPr>
          <w:rFonts w:ascii="Arial" w:hAnsi="Arial" w:cs="Arial"/>
        </w:rPr>
      </w:pPr>
      <w:r w:rsidRPr="5C6D8258">
        <w:rPr>
          <w:rFonts w:ascii="Arial" w:hAnsi="Arial" w:cs="Arial"/>
        </w:rPr>
        <w:t>Ausschlaggebend für die Bewertung der Indizien ist zudem das von Seiten des LE vorgelegte Konzept, sowie die Leistungsbeschreibung des Angebotes und die im Gesamtplan der Leistungsberechtigten festgelegten erforderlichen Leistungen</w:t>
      </w:r>
      <w:r w:rsidR="009874C3">
        <w:rPr>
          <w:rFonts w:ascii="Arial" w:hAnsi="Arial" w:cs="Arial"/>
        </w:rPr>
        <w:t>.</w:t>
      </w:r>
    </w:p>
    <w:p w14:paraId="0BF1B75F" w14:textId="21E927D2" w:rsidR="0099305D" w:rsidRDefault="0099305D">
      <w:pPr>
        <w:rPr>
          <w:rFonts w:ascii="Arial" w:hAnsi="Arial" w:cs="Arial"/>
        </w:rPr>
      </w:pPr>
      <w:r>
        <w:rPr>
          <w:rFonts w:ascii="Arial" w:hAnsi="Arial" w:cs="Arial"/>
        </w:rPr>
        <w:br w:type="page"/>
      </w:r>
    </w:p>
    <w:p w14:paraId="08A9769D" w14:textId="705EAB02" w:rsidR="003F6D7B" w:rsidRPr="008142BF" w:rsidRDefault="0099305D" w:rsidP="003F6D7B">
      <w:pPr>
        <w:spacing w:after="0"/>
        <w:rPr>
          <w:rFonts w:ascii="Arial" w:hAnsi="Arial" w:cs="Arial"/>
          <w:b/>
        </w:rPr>
      </w:pPr>
      <w:r w:rsidRPr="6114C00D">
        <w:rPr>
          <w:rFonts w:ascii="Arial" w:hAnsi="Arial" w:cs="Arial"/>
          <w:b/>
          <w:bCs/>
        </w:rPr>
        <w:lastRenderedPageBreak/>
        <w:t xml:space="preserve">Ermittelter </w:t>
      </w:r>
      <w:r w:rsidR="00CF3F71" w:rsidRPr="6114C00D">
        <w:rPr>
          <w:rFonts w:ascii="Arial" w:hAnsi="Arial" w:cs="Arial"/>
          <w:b/>
          <w:bCs/>
        </w:rPr>
        <w:t>W</w:t>
      </w:r>
      <w:r w:rsidRPr="6114C00D">
        <w:rPr>
          <w:rFonts w:ascii="Arial" w:hAnsi="Arial" w:cs="Arial"/>
          <w:b/>
          <w:bCs/>
        </w:rPr>
        <w:t>ert und Einzelfallbetrachtung</w:t>
      </w:r>
    </w:p>
    <w:p w14:paraId="5FBEF0A3" w14:textId="5D2D1C1B" w:rsidR="00DB5DF1" w:rsidRDefault="00DB5DF1">
      <w:pPr>
        <w:spacing w:after="0"/>
        <w:rPr>
          <w:rFonts w:ascii="Arial" w:hAnsi="Arial" w:cs="Arial"/>
        </w:rPr>
      </w:pPr>
      <w:r>
        <w:rPr>
          <w:rFonts w:ascii="Arial" w:hAnsi="Arial" w:cs="Arial"/>
        </w:rPr>
        <w:t>Die Matrix ergibt einen Wert,</w:t>
      </w:r>
      <w:r w:rsidR="0091033E">
        <w:rPr>
          <w:rFonts w:ascii="Arial" w:hAnsi="Arial" w:cs="Arial"/>
        </w:rPr>
        <w:t xml:space="preserve"> mit dem </w:t>
      </w:r>
      <w:r w:rsidR="00137D17">
        <w:rPr>
          <w:rFonts w:ascii="Arial" w:hAnsi="Arial" w:cs="Arial"/>
        </w:rPr>
        <w:t xml:space="preserve">eine Bewertung erfolgt, ob ein Leistungsangebot unter den </w:t>
      </w:r>
      <w:r>
        <w:rPr>
          <w:rFonts w:ascii="Arial" w:hAnsi="Arial" w:cs="Arial"/>
        </w:rPr>
        <w:t>§ 43a SGB X</w:t>
      </w:r>
      <w:r w:rsidR="00B12366">
        <w:rPr>
          <w:rFonts w:ascii="Arial" w:hAnsi="Arial" w:cs="Arial"/>
        </w:rPr>
        <w:t>I</w:t>
      </w:r>
      <w:r>
        <w:rPr>
          <w:rFonts w:ascii="Arial" w:hAnsi="Arial" w:cs="Arial"/>
        </w:rPr>
        <w:t xml:space="preserve"> </w:t>
      </w:r>
      <w:r w:rsidR="00137D17">
        <w:rPr>
          <w:rFonts w:ascii="Arial" w:hAnsi="Arial" w:cs="Arial"/>
        </w:rPr>
        <w:t>fällt</w:t>
      </w:r>
      <w:r>
        <w:rPr>
          <w:rFonts w:ascii="Arial" w:hAnsi="Arial" w:cs="Arial"/>
        </w:rPr>
        <w:t xml:space="preserve">. </w:t>
      </w:r>
    </w:p>
    <w:p w14:paraId="563A4328" w14:textId="77777777" w:rsidR="00CF3F71" w:rsidRDefault="00CF3F71">
      <w:pPr>
        <w:spacing w:after="0"/>
        <w:rPr>
          <w:rFonts w:ascii="Arial" w:hAnsi="Arial" w:cs="Arial"/>
        </w:rPr>
      </w:pPr>
    </w:p>
    <w:p w14:paraId="55871BC2" w14:textId="6BA5E475" w:rsidR="001F10AB" w:rsidRDefault="004B6428">
      <w:pPr>
        <w:spacing w:after="0"/>
        <w:rPr>
          <w:rFonts w:ascii="Arial" w:hAnsi="Arial" w:cs="Arial"/>
        </w:rPr>
      </w:pPr>
      <w:r>
        <w:rPr>
          <w:rFonts w:ascii="Arial" w:hAnsi="Arial" w:cs="Arial"/>
        </w:rPr>
        <w:t xml:space="preserve">Wenn nach der Matrix das Angebot </w:t>
      </w:r>
      <w:r w:rsidR="00E148FA">
        <w:rPr>
          <w:rFonts w:ascii="Arial" w:hAnsi="Arial" w:cs="Arial"/>
        </w:rPr>
        <w:t xml:space="preserve">den </w:t>
      </w:r>
      <w:r>
        <w:rPr>
          <w:rFonts w:ascii="Arial" w:hAnsi="Arial" w:cs="Arial"/>
        </w:rPr>
        <w:t xml:space="preserve">Schwellenwert </w:t>
      </w:r>
      <w:r w:rsidR="00E148FA">
        <w:rPr>
          <w:rFonts w:ascii="Arial" w:hAnsi="Arial" w:cs="Arial"/>
        </w:rPr>
        <w:t xml:space="preserve">von </w:t>
      </w:r>
      <w:r>
        <w:rPr>
          <w:rFonts w:ascii="Arial" w:hAnsi="Arial" w:cs="Arial"/>
        </w:rPr>
        <w:t>15,5</w:t>
      </w:r>
      <w:r w:rsidR="00E148FA">
        <w:rPr>
          <w:rFonts w:ascii="Arial" w:hAnsi="Arial" w:cs="Arial"/>
        </w:rPr>
        <w:t xml:space="preserve"> </w:t>
      </w:r>
      <w:r>
        <w:rPr>
          <w:rFonts w:ascii="Arial" w:hAnsi="Arial" w:cs="Arial"/>
        </w:rPr>
        <w:t xml:space="preserve">erreicht, besteht regelhaft die Vermutung, dass eine Gesamtversorgung im Sinne der RL vorliegt. </w:t>
      </w:r>
    </w:p>
    <w:p w14:paraId="779CEB7F" w14:textId="77777777" w:rsidR="00D774D2" w:rsidRDefault="00D774D2" w:rsidP="00D774D2">
      <w:pPr>
        <w:spacing w:after="0"/>
        <w:rPr>
          <w:rFonts w:ascii="Arial" w:hAnsi="Arial" w:cs="Arial"/>
        </w:rPr>
      </w:pPr>
      <w:r w:rsidRPr="44C3F7FE">
        <w:rPr>
          <w:rFonts w:ascii="Arial" w:hAnsi="Arial" w:cs="Arial"/>
        </w:rPr>
        <w:t xml:space="preserve">Auf Wunsch des Leistungserbringers kann ein Einzelfallbetrachtung zur Bewertung des Settings für die Zuordnung unter den § 43a SGB XI erfolgen. Der Leistungserbringer hat dies entsprechend zu begründen. (Zitat: </w:t>
      </w:r>
      <w:r>
        <w:rPr>
          <w:rFonts w:ascii="Arial" w:hAnsi="Arial" w:cs="Arial"/>
        </w:rPr>
        <w:t xml:space="preserve">RL Nr. 3 Abs. </w:t>
      </w:r>
      <w:r w:rsidRPr="44C3F7FE">
        <w:rPr>
          <w:rFonts w:ascii="Arial" w:hAnsi="Arial" w:cs="Arial"/>
        </w:rPr>
        <w:t>8</w:t>
      </w:r>
      <w:r>
        <w:rPr>
          <w:rFonts w:ascii="Arial" w:hAnsi="Arial" w:cs="Arial"/>
        </w:rPr>
        <w:t xml:space="preserve"> nach § 71 Abs. 5 SGB XI</w:t>
      </w:r>
      <w:r w:rsidRPr="44C3F7FE">
        <w:rPr>
          <w:rFonts w:ascii="Arial" w:hAnsi="Arial" w:cs="Arial"/>
        </w:rPr>
        <w:t>).</w:t>
      </w:r>
    </w:p>
    <w:p w14:paraId="5D26B89E" w14:textId="1464BC6A" w:rsidR="00D774D2" w:rsidRDefault="00D774D2" w:rsidP="00D774D2">
      <w:pPr>
        <w:spacing w:after="0"/>
        <w:rPr>
          <w:rFonts w:ascii="Arial" w:hAnsi="Arial" w:cs="Arial"/>
        </w:rPr>
      </w:pPr>
      <w:r w:rsidRPr="0099567E">
        <w:rPr>
          <w:rFonts w:ascii="Arial" w:hAnsi="Arial" w:cs="Arial"/>
        </w:rPr>
        <w:t>Zur Prüfung, ob regelmäßig der Umfang einer Gesamtversorgung erreicht wird, der weitgehend der Versorgung in einer vollstationären Einrichtung entspricht, sind die angebotenen Leistungen heranzuziehen. Für eine Gesamtbetrachtung sind als weitere Prüfgrundlage die Vereinbarungen nach §§ 123 ff SGB IX und das Konzept der Leistungserbringer heranzuziehen. Um weitere</w:t>
      </w:r>
      <w:r>
        <w:rPr>
          <w:rFonts w:ascii="Arial" w:hAnsi="Arial" w:cs="Arial"/>
        </w:rPr>
        <w:t xml:space="preserve"> </w:t>
      </w:r>
      <w:r w:rsidRPr="0099567E">
        <w:rPr>
          <w:rFonts w:ascii="Arial" w:hAnsi="Arial" w:cs="Arial"/>
        </w:rPr>
        <w:t>Erkenntnisse über die in den Räumlichkeiten grundsätzlich angebotenen Leistungen zu erhalten,</w:t>
      </w:r>
      <w:r>
        <w:rPr>
          <w:rFonts w:ascii="Arial" w:hAnsi="Arial" w:cs="Arial"/>
        </w:rPr>
        <w:t xml:space="preserve"> </w:t>
      </w:r>
      <w:r w:rsidRPr="0099567E">
        <w:rPr>
          <w:rFonts w:ascii="Arial" w:hAnsi="Arial" w:cs="Arial"/>
        </w:rPr>
        <w:t>kommen ergänzend die zwischen den Leistungserbringern und den Leistungsberechtigten geschlossenen Verträge über die vertraglich vereinbarten Leistungen in Betracht. Des Weiteren kann</w:t>
      </w:r>
      <w:r>
        <w:rPr>
          <w:rFonts w:ascii="Arial" w:hAnsi="Arial" w:cs="Arial"/>
        </w:rPr>
        <w:t xml:space="preserve"> </w:t>
      </w:r>
      <w:r w:rsidRPr="0099567E">
        <w:rPr>
          <w:rFonts w:ascii="Arial" w:hAnsi="Arial" w:cs="Arial"/>
        </w:rPr>
        <w:t>der im Teilhabe- bzw. Gesamtplanverfahren erstellte Teilhabe- bzw. Gesamtplan als ergänzende</w:t>
      </w:r>
      <w:r>
        <w:rPr>
          <w:rFonts w:ascii="Arial" w:hAnsi="Arial" w:cs="Arial"/>
        </w:rPr>
        <w:t xml:space="preserve"> </w:t>
      </w:r>
      <w:r w:rsidRPr="0099567E">
        <w:rPr>
          <w:rFonts w:ascii="Arial" w:hAnsi="Arial" w:cs="Arial"/>
        </w:rPr>
        <w:t>Prüfgrundlage herangezogen werden.</w:t>
      </w:r>
    </w:p>
    <w:p w14:paraId="60972133" w14:textId="79BB5791" w:rsidR="0005734C" w:rsidRDefault="0005734C">
      <w:pPr>
        <w:rPr>
          <w:rFonts w:ascii="Arial" w:hAnsi="Arial" w:cs="Arial"/>
        </w:rPr>
      </w:pPr>
      <w:r>
        <w:rPr>
          <w:rFonts w:ascii="Arial" w:hAnsi="Arial" w:cs="Arial"/>
        </w:rPr>
        <w:br w:type="page"/>
      </w:r>
    </w:p>
    <w:p w14:paraId="67DFDAE3" w14:textId="6E2B13EE" w:rsidR="00EB7FDE" w:rsidRPr="00463A91" w:rsidRDefault="00EB7FDE" w:rsidP="00463A91">
      <w:pPr>
        <w:spacing w:after="0"/>
        <w:rPr>
          <w:rFonts w:ascii="Arial" w:hAnsi="Arial" w:cs="Arial"/>
          <w:b/>
        </w:rPr>
      </w:pPr>
      <w:r w:rsidRPr="00463A91">
        <w:rPr>
          <w:rFonts w:ascii="Arial" w:hAnsi="Arial" w:cs="Arial"/>
          <w:b/>
        </w:rPr>
        <w:lastRenderedPageBreak/>
        <w:t>Erläuterung zum Ausfüllen der Matrix:</w:t>
      </w:r>
    </w:p>
    <w:p w14:paraId="300ECDC2" w14:textId="71C1AA2E" w:rsidR="00CE4468" w:rsidRPr="00CE4468" w:rsidRDefault="00EB7FDE">
      <w:pPr>
        <w:rPr>
          <w:rFonts w:ascii="Arial" w:hAnsi="Arial" w:cs="Arial"/>
        </w:rPr>
      </w:pPr>
      <w:r>
        <w:rPr>
          <w:rFonts w:ascii="Arial" w:hAnsi="Arial" w:cs="Arial"/>
        </w:rPr>
        <w:t xml:space="preserve">Die Matrix besteht aus den </w:t>
      </w:r>
      <w:r w:rsidR="00CE4468" w:rsidRPr="00CE4468">
        <w:rPr>
          <w:rFonts w:ascii="Arial" w:hAnsi="Arial" w:cs="Arial"/>
        </w:rPr>
        <w:t xml:space="preserve">Merkmalen der Richtlinie nach </w:t>
      </w:r>
      <w:r w:rsidR="00221735">
        <w:rPr>
          <w:rFonts w:ascii="Arial" w:hAnsi="Arial" w:cs="Arial"/>
        </w:rPr>
        <w:t xml:space="preserve">§ </w:t>
      </w:r>
      <w:r w:rsidR="00CE4468" w:rsidRPr="00CE4468">
        <w:rPr>
          <w:rFonts w:ascii="Arial" w:hAnsi="Arial" w:cs="Arial"/>
        </w:rPr>
        <w:t>71 Abs</w:t>
      </w:r>
      <w:r w:rsidR="00221735">
        <w:rPr>
          <w:rFonts w:ascii="Arial" w:hAnsi="Arial" w:cs="Arial"/>
        </w:rPr>
        <w:t>.</w:t>
      </w:r>
      <w:r w:rsidR="00CE4468" w:rsidRPr="00CE4468">
        <w:rPr>
          <w:rFonts w:ascii="Arial" w:hAnsi="Arial" w:cs="Arial"/>
        </w:rPr>
        <w:t xml:space="preserve"> 5 SGB </w:t>
      </w:r>
      <w:r w:rsidR="00221735">
        <w:rPr>
          <w:rFonts w:ascii="Arial" w:hAnsi="Arial" w:cs="Arial"/>
        </w:rPr>
        <w:t>XI</w:t>
      </w:r>
      <w:r w:rsidR="00CE4468" w:rsidRPr="00CE4468">
        <w:rPr>
          <w:rFonts w:ascii="Arial" w:hAnsi="Arial" w:cs="Arial"/>
        </w:rPr>
        <w:t xml:space="preserve"> </w:t>
      </w:r>
      <w:r w:rsidR="00CA07FE">
        <w:rPr>
          <w:rFonts w:ascii="Arial" w:hAnsi="Arial" w:cs="Arial"/>
        </w:rPr>
        <w:t xml:space="preserve">(Inhalte der ersten </w:t>
      </w:r>
      <w:r w:rsidR="00CE4468" w:rsidRPr="00CE4468">
        <w:rPr>
          <w:rFonts w:ascii="Arial" w:hAnsi="Arial" w:cs="Arial"/>
        </w:rPr>
        <w:t>Spalte</w:t>
      </w:r>
      <w:r w:rsidR="00CA07FE">
        <w:rPr>
          <w:rFonts w:ascii="Arial" w:hAnsi="Arial" w:cs="Arial"/>
        </w:rPr>
        <w:t>).</w:t>
      </w:r>
    </w:p>
    <w:p w14:paraId="15BEF57F" w14:textId="0A7285DB" w:rsidR="000018CA" w:rsidRPr="000018CA" w:rsidRDefault="00CE4468">
      <w:pPr>
        <w:rPr>
          <w:rFonts w:ascii="Arial" w:hAnsi="Arial" w:cs="Arial"/>
        </w:rPr>
      </w:pPr>
      <w:r w:rsidRPr="00CE4468">
        <w:rPr>
          <w:rFonts w:ascii="Arial" w:hAnsi="Arial" w:cs="Arial"/>
        </w:rPr>
        <w:t xml:space="preserve">Die Spalten 2 </w:t>
      </w:r>
      <w:r w:rsidR="006C18F3">
        <w:rPr>
          <w:rFonts w:ascii="Arial" w:hAnsi="Arial" w:cs="Arial"/>
        </w:rPr>
        <w:t xml:space="preserve">– </w:t>
      </w:r>
      <w:r w:rsidRPr="00CE4468">
        <w:rPr>
          <w:rFonts w:ascii="Arial" w:hAnsi="Arial" w:cs="Arial"/>
        </w:rPr>
        <w:t xml:space="preserve">4 </w:t>
      </w:r>
      <w:r w:rsidR="0089106B" w:rsidRPr="0089106B">
        <w:rPr>
          <w:rFonts w:ascii="Arial" w:hAnsi="Arial" w:cs="Arial"/>
        </w:rPr>
        <w:t>bilden die Differenzierung dieser Merkmale. Dabei werden nicht alle Merkmale in gleichem Maße ausdifferenziert. Manche Merkmale w</w:t>
      </w:r>
      <w:r w:rsidR="00763395">
        <w:rPr>
          <w:rFonts w:ascii="Arial" w:hAnsi="Arial" w:cs="Arial"/>
        </w:rPr>
        <w:t>e</w:t>
      </w:r>
      <w:r w:rsidR="0089106B" w:rsidRPr="0089106B">
        <w:rPr>
          <w:rFonts w:ascii="Arial" w:hAnsi="Arial" w:cs="Arial"/>
        </w:rPr>
        <w:t xml:space="preserve">rden </w:t>
      </w:r>
      <w:r w:rsidR="000018CA" w:rsidRPr="000018CA">
        <w:rPr>
          <w:rFonts w:ascii="Arial" w:hAnsi="Arial" w:cs="Arial"/>
        </w:rPr>
        <w:t xml:space="preserve">nur mit einem niedrigen oder nur mit einem hohen Indiz bewertet. </w:t>
      </w:r>
    </w:p>
    <w:p w14:paraId="29B821BD" w14:textId="69D708A2" w:rsidR="00B62F36" w:rsidRPr="00B62F36" w:rsidRDefault="000018CA">
      <w:pPr>
        <w:rPr>
          <w:rFonts w:ascii="Arial" w:hAnsi="Arial" w:cs="Arial"/>
        </w:rPr>
      </w:pPr>
      <w:r w:rsidRPr="000018CA">
        <w:rPr>
          <w:rFonts w:ascii="Arial" w:hAnsi="Arial" w:cs="Arial"/>
        </w:rPr>
        <w:t xml:space="preserve">In der </w:t>
      </w:r>
      <w:r w:rsidR="00794B59">
        <w:rPr>
          <w:rFonts w:ascii="Arial" w:hAnsi="Arial" w:cs="Arial"/>
        </w:rPr>
        <w:t>B</w:t>
      </w:r>
      <w:r w:rsidRPr="000018CA">
        <w:rPr>
          <w:rFonts w:ascii="Arial" w:hAnsi="Arial" w:cs="Arial"/>
        </w:rPr>
        <w:t xml:space="preserve">epunktung ist auf die Spalte 2 </w:t>
      </w:r>
      <w:r w:rsidR="00A8615C">
        <w:rPr>
          <w:rFonts w:ascii="Arial" w:hAnsi="Arial" w:cs="Arial"/>
        </w:rPr>
        <w:t xml:space="preserve">– </w:t>
      </w:r>
      <w:r w:rsidRPr="000018CA">
        <w:rPr>
          <w:rFonts w:ascii="Arial" w:hAnsi="Arial" w:cs="Arial"/>
        </w:rPr>
        <w:t xml:space="preserve">4 zu achten. </w:t>
      </w:r>
      <w:r w:rsidR="00F73ACA" w:rsidRPr="00F73ACA">
        <w:rPr>
          <w:rFonts w:ascii="Arial" w:hAnsi="Arial" w:cs="Arial"/>
        </w:rPr>
        <w:t>Nur ausgefü</w:t>
      </w:r>
      <w:r w:rsidR="00A8615C">
        <w:rPr>
          <w:rFonts w:ascii="Arial" w:hAnsi="Arial" w:cs="Arial"/>
        </w:rPr>
        <w:t>ll</w:t>
      </w:r>
      <w:r w:rsidR="00F73ACA" w:rsidRPr="00F73ACA">
        <w:rPr>
          <w:rFonts w:ascii="Arial" w:hAnsi="Arial" w:cs="Arial"/>
        </w:rPr>
        <w:t xml:space="preserve">te Spalten können </w:t>
      </w:r>
      <w:r w:rsidR="00111114">
        <w:rPr>
          <w:rFonts w:ascii="Arial" w:hAnsi="Arial" w:cs="Arial"/>
        </w:rPr>
        <w:t>P</w:t>
      </w:r>
      <w:r w:rsidR="00F73ACA" w:rsidRPr="00F73ACA">
        <w:rPr>
          <w:rFonts w:ascii="Arial" w:hAnsi="Arial" w:cs="Arial"/>
        </w:rPr>
        <w:t xml:space="preserve">unktwerte ergeben. Im Beispiel der </w:t>
      </w:r>
      <w:r w:rsidR="00B949E4">
        <w:rPr>
          <w:rFonts w:ascii="Arial" w:hAnsi="Arial" w:cs="Arial"/>
        </w:rPr>
        <w:t>obersten</w:t>
      </w:r>
      <w:r w:rsidR="00F73ACA" w:rsidRPr="00F73ACA">
        <w:rPr>
          <w:rFonts w:ascii="Arial" w:hAnsi="Arial" w:cs="Arial"/>
        </w:rPr>
        <w:t xml:space="preserve"> Zeile mit der </w:t>
      </w:r>
      <w:r w:rsidR="00D137EA">
        <w:rPr>
          <w:rFonts w:ascii="Arial" w:hAnsi="Arial" w:cs="Arial"/>
        </w:rPr>
        <w:t>„</w:t>
      </w:r>
      <w:r w:rsidR="00F73ACA" w:rsidRPr="00F73ACA">
        <w:rPr>
          <w:rFonts w:ascii="Arial" w:hAnsi="Arial" w:cs="Arial"/>
        </w:rPr>
        <w:t>Überlassung von Wohnraum</w:t>
      </w:r>
      <w:r w:rsidR="00D137EA">
        <w:rPr>
          <w:rFonts w:ascii="Arial" w:hAnsi="Arial" w:cs="Arial"/>
        </w:rPr>
        <w:t>“</w:t>
      </w:r>
      <w:r w:rsidR="00BA77D2">
        <w:rPr>
          <w:rFonts w:ascii="Arial" w:hAnsi="Arial" w:cs="Arial"/>
        </w:rPr>
        <w:t>,</w:t>
      </w:r>
      <w:r w:rsidR="00F73ACA" w:rsidRPr="00F73ACA">
        <w:rPr>
          <w:rFonts w:ascii="Arial" w:hAnsi="Arial" w:cs="Arial"/>
        </w:rPr>
        <w:t xml:space="preserve"> kann nur ein Punkt</w:t>
      </w:r>
      <w:r w:rsidR="00BA77D2">
        <w:rPr>
          <w:rFonts w:ascii="Arial" w:hAnsi="Arial" w:cs="Arial"/>
        </w:rPr>
        <w:t>w</w:t>
      </w:r>
      <w:r w:rsidR="00F73ACA" w:rsidRPr="00F73ACA">
        <w:rPr>
          <w:rFonts w:ascii="Arial" w:hAnsi="Arial" w:cs="Arial"/>
        </w:rPr>
        <w:t>ert von 3 oder 1 vergeben werden</w:t>
      </w:r>
      <w:r w:rsidR="00BA77D2">
        <w:rPr>
          <w:rFonts w:ascii="Arial" w:hAnsi="Arial" w:cs="Arial"/>
        </w:rPr>
        <w:t>.</w:t>
      </w:r>
      <w:r w:rsidR="00F73ACA" w:rsidRPr="00F73ACA">
        <w:rPr>
          <w:rFonts w:ascii="Arial" w:hAnsi="Arial" w:cs="Arial"/>
        </w:rPr>
        <w:t xml:space="preserve"> </w:t>
      </w:r>
      <w:r w:rsidR="00BA77D2">
        <w:rPr>
          <w:rFonts w:ascii="Arial" w:hAnsi="Arial" w:cs="Arial"/>
        </w:rPr>
        <w:t>I</w:t>
      </w:r>
      <w:r w:rsidR="00B62F36" w:rsidRPr="00B62F36">
        <w:rPr>
          <w:rFonts w:ascii="Arial" w:hAnsi="Arial" w:cs="Arial"/>
        </w:rPr>
        <w:t xml:space="preserve">n der zweiten </w:t>
      </w:r>
      <w:r w:rsidR="00B949E4">
        <w:rPr>
          <w:rFonts w:ascii="Arial" w:hAnsi="Arial" w:cs="Arial"/>
        </w:rPr>
        <w:t>Zeile</w:t>
      </w:r>
      <w:r w:rsidR="00B62F36" w:rsidRPr="00B62F36">
        <w:rPr>
          <w:rFonts w:ascii="Arial" w:hAnsi="Arial" w:cs="Arial"/>
        </w:rPr>
        <w:t xml:space="preserve"> </w:t>
      </w:r>
      <w:r w:rsidR="00763395">
        <w:rPr>
          <w:rFonts w:ascii="Arial" w:hAnsi="Arial" w:cs="Arial"/>
        </w:rPr>
        <w:t xml:space="preserve">mit der </w:t>
      </w:r>
      <w:r w:rsidR="00D137EA">
        <w:rPr>
          <w:rFonts w:ascii="Arial" w:hAnsi="Arial" w:cs="Arial"/>
        </w:rPr>
        <w:t>„</w:t>
      </w:r>
      <w:r w:rsidR="00763395">
        <w:rPr>
          <w:rFonts w:ascii="Arial" w:hAnsi="Arial" w:cs="Arial"/>
        </w:rPr>
        <w:t>Versorgung mit Wasser</w:t>
      </w:r>
      <w:r w:rsidR="00D137EA">
        <w:rPr>
          <w:rFonts w:ascii="Arial" w:hAnsi="Arial" w:cs="Arial"/>
        </w:rPr>
        <w:t>“</w:t>
      </w:r>
      <w:r w:rsidR="00763395">
        <w:rPr>
          <w:rFonts w:ascii="Arial" w:hAnsi="Arial" w:cs="Arial"/>
        </w:rPr>
        <w:t xml:space="preserve"> </w:t>
      </w:r>
      <w:r w:rsidR="00B62F36" w:rsidRPr="00B62F36">
        <w:rPr>
          <w:rFonts w:ascii="Arial" w:hAnsi="Arial" w:cs="Arial"/>
        </w:rPr>
        <w:t>kann nur ein Punkt</w:t>
      </w:r>
      <w:r w:rsidR="00BA77D2">
        <w:rPr>
          <w:rFonts w:ascii="Arial" w:hAnsi="Arial" w:cs="Arial"/>
        </w:rPr>
        <w:t>w</w:t>
      </w:r>
      <w:r w:rsidR="00B62F36" w:rsidRPr="00B62F36">
        <w:rPr>
          <w:rFonts w:ascii="Arial" w:hAnsi="Arial" w:cs="Arial"/>
        </w:rPr>
        <w:t>ert von 1 vergeben werden</w:t>
      </w:r>
      <w:r w:rsidR="00BA77D2">
        <w:rPr>
          <w:rFonts w:ascii="Arial" w:hAnsi="Arial" w:cs="Arial"/>
        </w:rPr>
        <w:t>.</w:t>
      </w:r>
      <w:r w:rsidR="003E4AD6">
        <w:rPr>
          <w:rFonts w:ascii="Arial" w:hAnsi="Arial" w:cs="Arial"/>
        </w:rPr>
        <w:t xml:space="preserve"> In der letzten </w:t>
      </w:r>
      <w:r w:rsidR="00B949E4">
        <w:rPr>
          <w:rFonts w:ascii="Arial" w:hAnsi="Arial" w:cs="Arial"/>
        </w:rPr>
        <w:t xml:space="preserve">Zeile </w:t>
      </w:r>
      <w:r w:rsidR="008905BB">
        <w:rPr>
          <w:rFonts w:ascii="Arial" w:hAnsi="Arial" w:cs="Arial"/>
        </w:rPr>
        <w:t xml:space="preserve">mit </w:t>
      </w:r>
      <w:r w:rsidR="00D137EA">
        <w:rPr>
          <w:rFonts w:ascii="Arial" w:hAnsi="Arial" w:cs="Arial"/>
        </w:rPr>
        <w:t xml:space="preserve">„24h/mind. 5 Tage; </w:t>
      </w:r>
      <w:r w:rsidR="00D137EA" w:rsidRPr="006F0527">
        <w:rPr>
          <w:rFonts w:ascii="Arial" w:hAnsi="Arial" w:cs="Arial"/>
          <w:bCs/>
        </w:rPr>
        <w:t>unter ständiger Verantwortung geeigneten Personals</w:t>
      </w:r>
      <w:r w:rsidR="00D137EA">
        <w:rPr>
          <w:rFonts w:ascii="Arial" w:hAnsi="Arial" w:cs="Arial"/>
        </w:rPr>
        <w:t>“</w:t>
      </w:r>
      <w:r w:rsidR="003E4AD6">
        <w:rPr>
          <w:rFonts w:ascii="Arial" w:hAnsi="Arial" w:cs="Arial"/>
        </w:rPr>
        <w:t xml:space="preserve"> kann 3, 2 oder 0 </w:t>
      </w:r>
      <w:r w:rsidR="006C18F3">
        <w:rPr>
          <w:rFonts w:ascii="Arial" w:hAnsi="Arial" w:cs="Arial"/>
        </w:rPr>
        <w:t>eingegeben werden.</w:t>
      </w:r>
    </w:p>
    <w:p w14:paraId="244F0AF2" w14:textId="2C46E479" w:rsidR="00944A38" w:rsidRDefault="00B62F36">
      <w:pPr>
        <w:rPr>
          <w:rFonts w:ascii="Arial" w:hAnsi="Arial" w:cs="Arial"/>
        </w:rPr>
      </w:pPr>
      <w:r w:rsidRPr="00B62F36">
        <w:rPr>
          <w:rFonts w:ascii="Arial" w:hAnsi="Arial" w:cs="Arial"/>
        </w:rPr>
        <w:t xml:space="preserve">Die </w:t>
      </w:r>
      <w:r w:rsidR="00B949E4">
        <w:rPr>
          <w:rFonts w:ascii="Arial" w:hAnsi="Arial" w:cs="Arial"/>
        </w:rPr>
        <w:t>Merkmale</w:t>
      </w:r>
      <w:r w:rsidRPr="00B62F36">
        <w:rPr>
          <w:rFonts w:ascii="Arial" w:hAnsi="Arial" w:cs="Arial"/>
        </w:rPr>
        <w:t xml:space="preserve"> wurden zudem unterschiedl</w:t>
      </w:r>
      <w:r w:rsidRPr="00623064">
        <w:rPr>
          <w:rFonts w:ascii="Arial" w:hAnsi="Arial" w:cs="Arial"/>
        </w:rPr>
        <w:t xml:space="preserve">ich gewichtet. </w:t>
      </w:r>
      <w:r w:rsidR="00944A38">
        <w:rPr>
          <w:rFonts w:ascii="Arial" w:hAnsi="Arial" w:cs="Arial"/>
        </w:rPr>
        <w:t xml:space="preserve">Das Kriterium der </w:t>
      </w:r>
      <w:r w:rsidR="00BD0A01">
        <w:rPr>
          <w:rFonts w:ascii="Arial" w:hAnsi="Arial" w:cs="Arial"/>
        </w:rPr>
        <w:t>„</w:t>
      </w:r>
      <w:r w:rsidR="00944A38">
        <w:rPr>
          <w:rFonts w:ascii="Arial" w:hAnsi="Arial" w:cs="Arial"/>
        </w:rPr>
        <w:t>24h/mind. 5 Tage</w:t>
      </w:r>
      <w:r w:rsidR="00A53008">
        <w:rPr>
          <w:rFonts w:ascii="Arial" w:hAnsi="Arial" w:cs="Arial"/>
        </w:rPr>
        <w:t xml:space="preserve">; </w:t>
      </w:r>
      <w:r w:rsidR="00A53008" w:rsidRPr="006F0527">
        <w:rPr>
          <w:rFonts w:ascii="Arial" w:hAnsi="Arial" w:cs="Arial"/>
          <w:bCs/>
        </w:rPr>
        <w:t>unter ständiger Verantwortung geeigneten Personals</w:t>
      </w:r>
      <w:r w:rsidR="00BD0A01">
        <w:rPr>
          <w:rFonts w:ascii="Arial" w:hAnsi="Arial" w:cs="Arial"/>
        </w:rPr>
        <w:t>“</w:t>
      </w:r>
      <w:r w:rsidR="00944A38">
        <w:rPr>
          <w:rFonts w:ascii="Arial" w:hAnsi="Arial" w:cs="Arial"/>
        </w:rPr>
        <w:t xml:space="preserve"> hat den Faktor 1,5. Zudem hat auch das Merkmal „</w:t>
      </w:r>
      <w:r w:rsidR="00944A38" w:rsidRPr="006F0527">
        <w:rPr>
          <w:rFonts w:ascii="Arial" w:hAnsi="Arial" w:cs="Arial"/>
          <w:bCs/>
        </w:rPr>
        <w:t>Zubereitung und Bereitstellung von Speisen und Getränken</w:t>
      </w:r>
      <w:r w:rsidR="00944A38">
        <w:rPr>
          <w:rFonts w:ascii="Arial" w:hAnsi="Arial" w:cs="Arial"/>
          <w:bCs/>
        </w:rPr>
        <w:t>“ den Faktor 1,5</w:t>
      </w:r>
      <w:r w:rsidR="00BD0A01">
        <w:rPr>
          <w:rFonts w:ascii="Arial" w:hAnsi="Arial" w:cs="Arial"/>
          <w:bCs/>
        </w:rPr>
        <w:t>.</w:t>
      </w:r>
    </w:p>
    <w:tbl>
      <w:tblPr>
        <w:tblStyle w:val="Tabellenraster"/>
        <w:tblW w:w="5071" w:type="pct"/>
        <w:tblLook w:val="04A0" w:firstRow="1" w:lastRow="0" w:firstColumn="1" w:lastColumn="0" w:noHBand="0" w:noVBand="1"/>
      </w:tblPr>
      <w:tblGrid>
        <w:gridCol w:w="3316"/>
        <w:gridCol w:w="3232"/>
        <w:gridCol w:w="3145"/>
        <w:gridCol w:w="3113"/>
        <w:gridCol w:w="52"/>
        <w:gridCol w:w="1622"/>
      </w:tblGrid>
      <w:tr w:rsidR="00D90BD5" w14:paraId="7F5CC1A8" w14:textId="77777777" w:rsidTr="005D713B">
        <w:trPr>
          <w:trHeight w:val="505"/>
        </w:trPr>
        <w:tc>
          <w:tcPr>
            <w:tcW w:w="1145" w:type="pct"/>
          </w:tcPr>
          <w:p w14:paraId="044F68C0" w14:textId="77777777" w:rsidR="002D2897" w:rsidRDefault="002D2897" w:rsidP="00362A4C">
            <w:pPr>
              <w:jc w:val="center"/>
              <w:rPr>
                <w:rFonts w:ascii="Arial" w:hAnsi="Arial" w:cs="Arial"/>
                <w:b/>
              </w:rPr>
            </w:pPr>
          </w:p>
          <w:p w14:paraId="75723AA1" w14:textId="77777777" w:rsidR="002D2897" w:rsidRDefault="002D2897" w:rsidP="00362A4C">
            <w:pPr>
              <w:jc w:val="center"/>
              <w:rPr>
                <w:rFonts w:ascii="Arial" w:hAnsi="Arial" w:cs="Arial"/>
                <w:b/>
              </w:rPr>
            </w:pPr>
            <w:r>
              <w:rPr>
                <w:rFonts w:ascii="Arial" w:hAnsi="Arial" w:cs="Arial"/>
                <w:b/>
              </w:rPr>
              <w:t xml:space="preserve">In der RiLi nach § 71 Abs. 5 SGB XI genannten </w:t>
            </w:r>
            <w:r w:rsidRPr="00E06FA3">
              <w:rPr>
                <w:rFonts w:ascii="Arial" w:hAnsi="Arial" w:cs="Arial"/>
                <w:b/>
              </w:rPr>
              <w:t>Merkmale</w:t>
            </w:r>
            <w:r>
              <w:rPr>
                <w:rFonts w:ascii="Arial" w:hAnsi="Arial" w:cs="Arial"/>
                <w:b/>
              </w:rPr>
              <w:t xml:space="preserve"> für eine Gesamtversorgung i.S.v.</w:t>
            </w:r>
            <w:r w:rsidRPr="00E06FA3">
              <w:rPr>
                <w:rFonts w:ascii="Arial" w:hAnsi="Arial" w:cs="Arial"/>
                <w:b/>
              </w:rPr>
              <w:t>§ 71 Abs.4 Nr. 3 Buchstabe c) SGB XI</w:t>
            </w:r>
          </w:p>
          <w:p w14:paraId="3A402B20" w14:textId="77777777" w:rsidR="002D2897" w:rsidRPr="00E06FA3" w:rsidRDefault="002D2897" w:rsidP="00362A4C">
            <w:pPr>
              <w:jc w:val="center"/>
              <w:rPr>
                <w:rFonts w:ascii="Arial" w:hAnsi="Arial" w:cs="Arial"/>
                <w:b/>
              </w:rPr>
            </w:pPr>
          </w:p>
        </w:tc>
        <w:tc>
          <w:tcPr>
            <w:tcW w:w="1116" w:type="pct"/>
            <w:shd w:val="clear" w:color="auto" w:fill="AEAAAA" w:themeFill="background2" w:themeFillShade="BF"/>
          </w:tcPr>
          <w:p w14:paraId="4AC32F2F" w14:textId="77777777" w:rsidR="002D2897" w:rsidRDefault="002D2897" w:rsidP="00362A4C">
            <w:pPr>
              <w:jc w:val="center"/>
              <w:rPr>
                <w:rFonts w:ascii="Arial" w:hAnsi="Arial" w:cs="Arial"/>
                <w:b/>
              </w:rPr>
            </w:pPr>
          </w:p>
          <w:p w14:paraId="3CF5FFA2" w14:textId="77777777" w:rsidR="002D2897" w:rsidRDefault="002D2897" w:rsidP="00362A4C">
            <w:pPr>
              <w:jc w:val="center"/>
              <w:rPr>
                <w:rFonts w:ascii="Arial" w:hAnsi="Arial" w:cs="Arial"/>
                <w:b/>
              </w:rPr>
            </w:pPr>
            <w:r>
              <w:rPr>
                <w:rFonts w:ascii="Arial" w:hAnsi="Arial" w:cs="Arial"/>
                <w:b/>
              </w:rPr>
              <w:t xml:space="preserve">Hohes Indiz </w:t>
            </w:r>
            <w:r>
              <w:rPr>
                <w:rFonts w:ascii="Arial" w:hAnsi="Arial" w:cs="Arial"/>
                <w:b/>
              </w:rPr>
              <w:br/>
              <w:t>für eine Gesamtversorgung</w:t>
            </w:r>
          </w:p>
          <w:p w14:paraId="445CB05C" w14:textId="77777777" w:rsidR="002D2897" w:rsidRDefault="002D2897" w:rsidP="00362A4C">
            <w:pPr>
              <w:jc w:val="center"/>
              <w:rPr>
                <w:rFonts w:ascii="Arial" w:hAnsi="Arial" w:cs="Arial"/>
                <w:b/>
              </w:rPr>
            </w:pPr>
            <w:r w:rsidRPr="00337037">
              <w:rPr>
                <w:rFonts w:ascii="Arial" w:hAnsi="Arial" w:cs="Arial"/>
              </w:rPr>
              <w:t xml:space="preserve">(Punktwert </w:t>
            </w:r>
            <w:r>
              <w:rPr>
                <w:rFonts w:ascii="Arial" w:hAnsi="Arial" w:cs="Arial"/>
              </w:rPr>
              <w:t>3</w:t>
            </w:r>
            <w:r w:rsidRPr="00337037">
              <w:rPr>
                <w:rFonts w:ascii="Arial" w:hAnsi="Arial" w:cs="Arial"/>
              </w:rPr>
              <w:t>)</w:t>
            </w:r>
          </w:p>
        </w:tc>
        <w:tc>
          <w:tcPr>
            <w:tcW w:w="1086" w:type="pct"/>
            <w:shd w:val="clear" w:color="auto" w:fill="D0CECE" w:themeFill="background2" w:themeFillShade="E6"/>
          </w:tcPr>
          <w:p w14:paraId="32E69057" w14:textId="77777777" w:rsidR="002D2897" w:rsidRDefault="002D2897" w:rsidP="00362A4C">
            <w:pPr>
              <w:jc w:val="center"/>
              <w:rPr>
                <w:rFonts w:ascii="Arial" w:hAnsi="Arial" w:cs="Arial"/>
                <w:b/>
              </w:rPr>
            </w:pPr>
          </w:p>
          <w:p w14:paraId="523C280E" w14:textId="77777777" w:rsidR="002D2897" w:rsidRDefault="002D2897" w:rsidP="00362A4C">
            <w:pPr>
              <w:jc w:val="center"/>
              <w:rPr>
                <w:rFonts w:ascii="Arial" w:hAnsi="Arial" w:cs="Arial"/>
                <w:b/>
              </w:rPr>
            </w:pPr>
            <w:r>
              <w:rPr>
                <w:rFonts w:ascii="Arial" w:hAnsi="Arial" w:cs="Arial"/>
                <w:b/>
              </w:rPr>
              <w:t xml:space="preserve">Mittleres Indiz </w:t>
            </w:r>
            <w:r>
              <w:rPr>
                <w:rFonts w:ascii="Arial" w:hAnsi="Arial" w:cs="Arial"/>
                <w:b/>
              </w:rPr>
              <w:br/>
              <w:t>für eine Gesamtversorgung</w:t>
            </w:r>
          </w:p>
          <w:p w14:paraId="68D981BE" w14:textId="77777777" w:rsidR="002D2897" w:rsidRPr="00337037" w:rsidRDefault="002D2897" w:rsidP="00362A4C">
            <w:pPr>
              <w:jc w:val="center"/>
              <w:rPr>
                <w:rFonts w:ascii="Arial" w:hAnsi="Arial" w:cs="Arial"/>
              </w:rPr>
            </w:pPr>
            <w:r w:rsidRPr="00337037">
              <w:rPr>
                <w:rFonts w:ascii="Arial" w:hAnsi="Arial" w:cs="Arial"/>
              </w:rPr>
              <w:t xml:space="preserve">(Punktwert </w:t>
            </w:r>
            <w:r>
              <w:rPr>
                <w:rFonts w:ascii="Arial" w:hAnsi="Arial" w:cs="Arial"/>
              </w:rPr>
              <w:t>2</w:t>
            </w:r>
            <w:r w:rsidRPr="00337037">
              <w:rPr>
                <w:rFonts w:ascii="Arial" w:hAnsi="Arial" w:cs="Arial"/>
              </w:rPr>
              <w:t>)</w:t>
            </w:r>
          </w:p>
        </w:tc>
        <w:tc>
          <w:tcPr>
            <w:tcW w:w="1093" w:type="pct"/>
            <w:gridSpan w:val="2"/>
            <w:shd w:val="clear" w:color="auto" w:fill="E7E6E6" w:themeFill="background2"/>
          </w:tcPr>
          <w:p w14:paraId="7B533BFF" w14:textId="77777777" w:rsidR="002D2897" w:rsidRDefault="002D2897" w:rsidP="00362A4C">
            <w:pPr>
              <w:jc w:val="center"/>
              <w:rPr>
                <w:rFonts w:ascii="Arial" w:hAnsi="Arial" w:cs="Arial"/>
                <w:b/>
              </w:rPr>
            </w:pPr>
          </w:p>
          <w:p w14:paraId="4331AE02" w14:textId="77777777" w:rsidR="002D2897" w:rsidRDefault="002D2897" w:rsidP="00362A4C">
            <w:pPr>
              <w:jc w:val="center"/>
              <w:rPr>
                <w:rFonts w:ascii="Arial" w:hAnsi="Arial" w:cs="Arial"/>
                <w:b/>
              </w:rPr>
            </w:pPr>
            <w:r>
              <w:rPr>
                <w:rFonts w:ascii="Arial" w:hAnsi="Arial" w:cs="Arial"/>
                <w:b/>
              </w:rPr>
              <w:t xml:space="preserve">Geringes Indiz </w:t>
            </w:r>
            <w:r>
              <w:rPr>
                <w:rFonts w:ascii="Arial" w:hAnsi="Arial" w:cs="Arial"/>
                <w:b/>
              </w:rPr>
              <w:br/>
              <w:t>für eine Gesamtversorgung</w:t>
            </w:r>
          </w:p>
          <w:p w14:paraId="63ED4CAE" w14:textId="22CA80DB" w:rsidR="002D2897" w:rsidRDefault="002D2897" w:rsidP="00362A4C">
            <w:pPr>
              <w:jc w:val="center"/>
              <w:rPr>
                <w:rFonts w:ascii="Arial" w:hAnsi="Arial" w:cs="Arial"/>
                <w:b/>
              </w:rPr>
            </w:pPr>
            <w:r w:rsidRPr="00337037">
              <w:rPr>
                <w:rFonts w:ascii="Arial" w:hAnsi="Arial" w:cs="Arial"/>
              </w:rPr>
              <w:t>(Punktwert 1)</w:t>
            </w:r>
          </w:p>
        </w:tc>
        <w:tc>
          <w:tcPr>
            <w:tcW w:w="560" w:type="pct"/>
          </w:tcPr>
          <w:p w14:paraId="21A393C4" w14:textId="77777777" w:rsidR="002D2897" w:rsidRDefault="002D2897" w:rsidP="00362A4C">
            <w:pPr>
              <w:jc w:val="center"/>
              <w:rPr>
                <w:rFonts w:ascii="Arial" w:hAnsi="Arial" w:cs="Arial"/>
                <w:b/>
              </w:rPr>
            </w:pPr>
          </w:p>
          <w:p w14:paraId="1B6896E7" w14:textId="77777777" w:rsidR="002D2897" w:rsidRDefault="002D2897" w:rsidP="00362A4C">
            <w:pPr>
              <w:jc w:val="center"/>
              <w:rPr>
                <w:rFonts w:ascii="Arial" w:hAnsi="Arial" w:cs="Arial"/>
                <w:b/>
              </w:rPr>
            </w:pPr>
            <w:r>
              <w:rPr>
                <w:rFonts w:ascii="Arial" w:hAnsi="Arial" w:cs="Arial"/>
                <w:b/>
              </w:rPr>
              <w:t>Punkte</w:t>
            </w:r>
          </w:p>
          <w:p w14:paraId="1671E773" w14:textId="77777777" w:rsidR="002D2897" w:rsidRPr="007430F6" w:rsidRDefault="002D2897" w:rsidP="00362A4C">
            <w:pPr>
              <w:jc w:val="center"/>
              <w:rPr>
                <w:rFonts w:ascii="Arial" w:hAnsi="Arial" w:cs="Arial"/>
              </w:rPr>
            </w:pPr>
            <w:r w:rsidRPr="007430F6">
              <w:rPr>
                <w:rFonts w:ascii="Arial" w:hAnsi="Arial" w:cs="Arial"/>
              </w:rPr>
              <w:t>(bitte eintragen)</w:t>
            </w:r>
          </w:p>
        </w:tc>
      </w:tr>
      <w:tr w:rsidR="00FB10DA" w14:paraId="10EA3647" w14:textId="77777777" w:rsidTr="005D713B">
        <w:tc>
          <w:tcPr>
            <w:tcW w:w="5000" w:type="pct"/>
            <w:gridSpan w:val="6"/>
          </w:tcPr>
          <w:p w14:paraId="73FBE8FD" w14:textId="77777777" w:rsidR="00FB10DA" w:rsidRDefault="00FB10DA" w:rsidP="00E21DB2">
            <w:pPr>
              <w:pStyle w:val="Listenabsatz"/>
              <w:jc w:val="center"/>
              <w:rPr>
                <w:rFonts w:ascii="Arial" w:hAnsi="Arial" w:cs="Arial"/>
              </w:rPr>
            </w:pPr>
          </w:p>
          <w:p w14:paraId="22261DCF" w14:textId="32E4E579" w:rsidR="00FB10DA" w:rsidRPr="009834CC" w:rsidRDefault="00B31800" w:rsidP="00E21DB2">
            <w:pPr>
              <w:pStyle w:val="Listenabsatz"/>
              <w:jc w:val="center"/>
              <w:rPr>
                <w:rFonts w:ascii="Arial" w:hAnsi="Arial" w:cs="Arial"/>
                <w:b/>
              </w:rPr>
            </w:pPr>
            <w:r>
              <w:rPr>
                <w:rFonts w:ascii="Arial" w:hAnsi="Arial" w:cs="Arial"/>
                <w:b/>
              </w:rPr>
              <w:t>Setting</w:t>
            </w:r>
          </w:p>
          <w:p w14:paraId="2B525742" w14:textId="77777777" w:rsidR="00FB10DA" w:rsidRDefault="00FB10DA" w:rsidP="00E21DB2">
            <w:pPr>
              <w:jc w:val="center"/>
              <w:rPr>
                <w:rFonts w:ascii="Arial" w:hAnsi="Arial" w:cs="Arial"/>
              </w:rPr>
            </w:pPr>
          </w:p>
        </w:tc>
      </w:tr>
      <w:tr w:rsidR="00D90BD5" w14:paraId="7BDFC10B" w14:textId="77777777" w:rsidTr="005D713B">
        <w:tc>
          <w:tcPr>
            <w:tcW w:w="1145" w:type="pct"/>
          </w:tcPr>
          <w:p w14:paraId="4B9838EA" w14:textId="77777777" w:rsidR="002D2897" w:rsidRPr="000B75B7" w:rsidRDefault="002D2897" w:rsidP="00E21DB2">
            <w:pPr>
              <w:pStyle w:val="Listenabsatz"/>
              <w:rPr>
                <w:rFonts w:ascii="Arial" w:hAnsi="Arial" w:cs="Arial"/>
                <w:b/>
                <w:bCs/>
                <w:u w:val="single"/>
              </w:rPr>
            </w:pPr>
          </w:p>
        </w:tc>
        <w:tc>
          <w:tcPr>
            <w:tcW w:w="1116" w:type="pct"/>
            <w:shd w:val="clear" w:color="auto" w:fill="AEAAAA" w:themeFill="background2" w:themeFillShade="BF"/>
          </w:tcPr>
          <w:p w14:paraId="3721E968" w14:textId="77777777" w:rsidR="002D2897" w:rsidRDefault="002D2897" w:rsidP="00626EC6">
            <w:pPr>
              <w:pStyle w:val="Listenabsatz"/>
              <w:ind w:left="360"/>
              <w:rPr>
                <w:rFonts w:ascii="Arial" w:hAnsi="Arial" w:cs="Arial"/>
              </w:rPr>
            </w:pPr>
          </w:p>
          <w:p w14:paraId="29CC4B9D" w14:textId="5A9C3ECB" w:rsidR="002D2897" w:rsidRDefault="002D2897" w:rsidP="008E1123">
            <w:pPr>
              <w:pStyle w:val="Listenabsatz"/>
              <w:numPr>
                <w:ilvl w:val="0"/>
                <w:numId w:val="7"/>
              </w:numPr>
              <w:rPr>
                <w:rFonts w:ascii="Arial" w:hAnsi="Arial" w:cs="Arial"/>
              </w:rPr>
            </w:pPr>
            <w:r w:rsidRPr="00A05BF8">
              <w:rPr>
                <w:rFonts w:ascii="Arial" w:hAnsi="Arial" w:cs="Arial"/>
              </w:rPr>
              <w:t>Überlassung von Wohnraum i. S. d. § 42a Abs. 2 Satz 1 Nr. 2 SGB XII</w:t>
            </w:r>
          </w:p>
          <w:p w14:paraId="1D7DA160" w14:textId="77777777" w:rsidR="002D2897" w:rsidRPr="00C20DC2" w:rsidRDefault="002D2897" w:rsidP="00E21DB2">
            <w:pPr>
              <w:pStyle w:val="Listenabsatz"/>
              <w:numPr>
                <w:ilvl w:val="0"/>
                <w:numId w:val="7"/>
              </w:numPr>
              <w:rPr>
                <w:rFonts w:ascii="Arial" w:hAnsi="Arial" w:cs="Arial"/>
              </w:rPr>
            </w:pPr>
            <w:r w:rsidRPr="00C20DC2">
              <w:rPr>
                <w:rFonts w:ascii="Arial" w:hAnsi="Arial" w:cs="Arial"/>
              </w:rPr>
              <w:t>Persönlicher Wohnraum, allein oder zu zweit und zusätzliche Räumlichkeiten zur gem. Nutzung</w:t>
            </w:r>
          </w:p>
          <w:p w14:paraId="77A4A375" w14:textId="77777777" w:rsidR="002D2897" w:rsidRDefault="002D2897" w:rsidP="00E21DB2">
            <w:pPr>
              <w:rPr>
                <w:rFonts w:ascii="Arial" w:hAnsi="Arial" w:cs="Arial"/>
              </w:rPr>
            </w:pPr>
          </w:p>
        </w:tc>
        <w:tc>
          <w:tcPr>
            <w:tcW w:w="1086" w:type="pct"/>
            <w:shd w:val="clear" w:color="auto" w:fill="D0CECE" w:themeFill="background2" w:themeFillShade="E6"/>
          </w:tcPr>
          <w:p w14:paraId="021FB991" w14:textId="77777777" w:rsidR="002D2897" w:rsidRDefault="002D2897" w:rsidP="00E21DB2">
            <w:pPr>
              <w:rPr>
                <w:rFonts w:ascii="Arial" w:hAnsi="Arial" w:cs="Arial"/>
              </w:rPr>
            </w:pPr>
          </w:p>
        </w:tc>
        <w:tc>
          <w:tcPr>
            <w:tcW w:w="1093" w:type="pct"/>
            <w:gridSpan w:val="2"/>
            <w:shd w:val="clear" w:color="auto" w:fill="E7E6E6" w:themeFill="background2"/>
          </w:tcPr>
          <w:p w14:paraId="18E66ACF" w14:textId="77777777" w:rsidR="002D2897" w:rsidRDefault="002D2897" w:rsidP="00E21DB2">
            <w:pPr>
              <w:rPr>
                <w:rFonts w:ascii="Arial" w:hAnsi="Arial" w:cs="Arial"/>
              </w:rPr>
            </w:pPr>
          </w:p>
          <w:p w14:paraId="161E9F1C" w14:textId="4852507B" w:rsidR="002D2897" w:rsidRPr="00FB10DA" w:rsidRDefault="002D2897" w:rsidP="00E21DB2">
            <w:pPr>
              <w:rPr>
                <w:rFonts w:ascii="Arial" w:hAnsi="Arial" w:cs="Arial"/>
              </w:rPr>
            </w:pPr>
            <w:r w:rsidRPr="00FB10DA">
              <w:rPr>
                <w:rFonts w:ascii="Arial" w:hAnsi="Arial" w:cs="Arial"/>
              </w:rPr>
              <w:t>Beim Vorliegen einer Wohnung i.S.v. § 42a Abs.2 S.2 SGB XII. D.h. die Zusammenfassung mehrerer Räume, die von anderen Wohnungen oder Wohnräumen baulich getrennt sind und deren Ausstattung zur Führung eines Haushalts geeignet ist.</w:t>
            </w:r>
          </w:p>
          <w:p w14:paraId="2FCAA7D4" w14:textId="77777777" w:rsidR="002D2897" w:rsidRDefault="002D2897" w:rsidP="00E21DB2">
            <w:pPr>
              <w:rPr>
                <w:rFonts w:ascii="Arial" w:hAnsi="Arial" w:cs="Arial"/>
              </w:rPr>
            </w:pPr>
          </w:p>
        </w:tc>
        <w:tc>
          <w:tcPr>
            <w:tcW w:w="560" w:type="pct"/>
          </w:tcPr>
          <w:p w14:paraId="0C953268" w14:textId="7EFCDF89" w:rsidR="002D2897" w:rsidRDefault="002D2897" w:rsidP="001C2E9A">
            <w:pPr>
              <w:jc w:val="center"/>
              <w:rPr>
                <w:rFonts w:ascii="Arial" w:hAnsi="Arial" w:cs="Arial"/>
              </w:rPr>
            </w:pPr>
            <w:r>
              <w:rPr>
                <w:rFonts w:ascii="Arial" w:hAnsi="Arial" w:cs="Arial"/>
              </w:rPr>
              <w:t>X1</w:t>
            </w:r>
          </w:p>
        </w:tc>
      </w:tr>
      <w:tr w:rsidR="00362A4C" w14:paraId="4000EA1A" w14:textId="77777777" w:rsidTr="005D713B">
        <w:tc>
          <w:tcPr>
            <w:tcW w:w="5000" w:type="pct"/>
            <w:gridSpan w:val="6"/>
          </w:tcPr>
          <w:p w14:paraId="247E50AE" w14:textId="77777777" w:rsidR="00362A4C" w:rsidRDefault="00362A4C" w:rsidP="00403402">
            <w:pPr>
              <w:pStyle w:val="Listenabsatz"/>
              <w:jc w:val="center"/>
              <w:rPr>
                <w:rFonts w:ascii="Arial" w:hAnsi="Arial" w:cs="Arial"/>
              </w:rPr>
            </w:pPr>
          </w:p>
          <w:p w14:paraId="1CE9E66D" w14:textId="77777777" w:rsidR="00362A4C" w:rsidRPr="009834CC" w:rsidRDefault="00362A4C" w:rsidP="00403402">
            <w:pPr>
              <w:pStyle w:val="Listenabsatz"/>
              <w:jc w:val="center"/>
              <w:rPr>
                <w:rFonts w:ascii="Arial" w:hAnsi="Arial" w:cs="Arial"/>
                <w:b/>
              </w:rPr>
            </w:pPr>
            <w:r w:rsidRPr="009834CC">
              <w:rPr>
                <w:rFonts w:ascii="Arial" w:hAnsi="Arial" w:cs="Arial"/>
                <w:b/>
              </w:rPr>
              <w:t>Unterkunft und Verpflegung</w:t>
            </w:r>
          </w:p>
          <w:p w14:paraId="54399473" w14:textId="77777777" w:rsidR="00362A4C" w:rsidRDefault="00362A4C" w:rsidP="00403402">
            <w:pPr>
              <w:jc w:val="center"/>
              <w:rPr>
                <w:rFonts w:ascii="Arial" w:hAnsi="Arial" w:cs="Arial"/>
              </w:rPr>
            </w:pPr>
          </w:p>
        </w:tc>
      </w:tr>
      <w:tr w:rsidR="00D90BD5" w14:paraId="4F6762C0" w14:textId="77777777" w:rsidTr="005D713B">
        <w:tc>
          <w:tcPr>
            <w:tcW w:w="1145" w:type="pct"/>
          </w:tcPr>
          <w:p w14:paraId="7E21B79D" w14:textId="77777777" w:rsidR="002D2897" w:rsidRPr="000B75B7" w:rsidRDefault="002D2897" w:rsidP="002D4939">
            <w:pPr>
              <w:pStyle w:val="Listenabsatz"/>
              <w:rPr>
                <w:rFonts w:ascii="Arial" w:hAnsi="Arial" w:cs="Arial"/>
                <w:b/>
                <w:bCs/>
                <w:u w:val="single"/>
              </w:rPr>
            </w:pPr>
          </w:p>
          <w:p w14:paraId="6E8E0FDF" w14:textId="77777777" w:rsidR="002D2897" w:rsidRPr="00B451D1" w:rsidRDefault="002D2897" w:rsidP="00E44262">
            <w:pPr>
              <w:pStyle w:val="Listenabsatz"/>
              <w:numPr>
                <w:ilvl w:val="0"/>
                <w:numId w:val="2"/>
              </w:numPr>
              <w:ind w:left="470" w:hanging="357"/>
              <w:rPr>
                <w:rFonts w:ascii="Arial" w:hAnsi="Arial" w:cs="Arial"/>
                <w:b/>
                <w:bCs/>
                <w:u w:val="single"/>
              </w:rPr>
            </w:pPr>
            <w:r w:rsidRPr="00B451D1">
              <w:rPr>
                <w:rFonts w:ascii="Arial" w:hAnsi="Arial" w:cs="Arial"/>
                <w:bCs/>
              </w:rPr>
              <w:t xml:space="preserve">Versorgung </w:t>
            </w:r>
            <w:r>
              <w:rPr>
                <w:rFonts w:ascii="Arial" w:hAnsi="Arial" w:cs="Arial"/>
              </w:rPr>
              <w:t xml:space="preserve">mit Wasser, Energie sowie </w:t>
            </w:r>
            <w:r w:rsidRPr="00B451D1">
              <w:rPr>
                <w:rFonts w:ascii="Arial" w:hAnsi="Arial" w:cs="Arial"/>
              </w:rPr>
              <w:t>Entsorgung</w:t>
            </w:r>
            <w:r>
              <w:rPr>
                <w:rFonts w:ascii="Arial" w:hAnsi="Arial" w:cs="Arial"/>
              </w:rPr>
              <w:t xml:space="preserve"> von Abwasser und Abfall </w:t>
            </w:r>
          </w:p>
        </w:tc>
        <w:tc>
          <w:tcPr>
            <w:tcW w:w="1116" w:type="pct"/>
            <w:shd w:val="clear" w:color="auto" w:fill="AEAAAA" w:themeFill="background2" w:themeFillShade="BF"/>
          </w:tcPr>
          <w:p w14:paraId="5B03D85E" w14:textId="77777777" w:rsidR="002D2897" w:rsidRDefault="002D2897" w:rsidP="002D4939">
            <w:pPr>
              <w:rPr>
                <w:rFonts w:ascii="Arial" w:hAnsi="Arial" w:cs="Arial"/>
              </w:rPr>
            </w:pPr>
          </w:p>
        </w:tc>
        <w:tc>
          <w:tcPr>
            <w:tcW w:w="1086" w:type="pct"/>
            <w:shd w:val="clear" w:color="auto" w:fill="D0CECE" w:themeFill="background2" w:themeFillShade="E6"/>
          </w:tcPr>
          <w:p w14:paraId="3D907FD1" w14:textId="77777777" w:rsidR="002D2897" w:rsidRDefault="002D2897" w:rsidP="002D4939">
            <w:pPr>
              <w:rPr>
                <w:rFonts w:ascii="Arial" w:hAnsi="Arial" w:cs="Arial"/>
              </w:rPr>
            </w:pPr>
          </w:p>
          <w:p w14:paraId="6B843D74" w14:textId="77777777" w:rsidR="002D2897" w:rsidRPr="00E8178A" w:rsidRDefault="002D2897" w:rsidP="002D4939">
            <w:pPr>
              <w:ind w:firstLine="708"/>
              <w:rPr>
                <w:rFonts w:ascii="Arial" w:hAnsi="Arial" w:cs="Arial"/>
              </w:rPr>
            </w:pPr>
          </w:p>
        </w:tc>
        <w:tc>
          <w:tcPr>
            <w:tcW w:w="1093" w:type="pct"/>
            <w:gridSpan w:val="2"/>
            <w:shd w:val="clear" w:color="auto" w:fill="E7E6E6" w:themeFill="background2"/>
          </w:tcPr>
          <w:p w14:paraId="4B3684C0" w14:textId="77777777" w:rsidR="002D2897" w:rsidRDefault="002D2897" w:rsidP="002D4939">
            <w:pPr>
              <w:rPr>
                <w:rFonts w:ascii="Arial" w:hAnsi="Arial" w:cs="Arial"/>
              </w:rPr>
            </w:pPr>
          </w:p>
          <w:p w14:paraId="058F8C1A" w14:textId="77777777" w:rsidR="002D2897" w:rsidRDefault="002D2897" w:rsidP="00697F9E">
            <w:pPr>
              <w:rPr>
                <w:rFonts w:ascii="Arial" w:hAnsi="Arial" w:cs="Arial"/>
              </w:rPr>
            </w:pPr>
            <w:r>
              <w:rPr>
                <w:rFonts w:ascii="Arial" w:hAnsi="Arial" w:cs="Arial"/>
              </w:rPr>
              <w:t>Alle vertragliche Beziehung für die Versorgungs- und Entsorgungsleistungen zwischen LE und LB</w:t>
            </w:r>
          </w:p>
          <w:p w14:paraId="6EFE6675" w14:textId="77777777" w:rsidR="002D2897" w:rsidRDefault="002D2897" w:rsidP="002D4939">
            <w:pPr>
              <w:rPr>
                <w:rFonts w:ascii="Arial" w:hAnsi="Arial" w:cs="Arial"/>
              </w:rPr>
            </w:pPr>
          </w:p>
        </w:tc>
        <w:tc>
          <w:tcPr>
            <w:tcW w:w="560" w:type="pct"/>
          </w:tcPr>
          <w:p w14:paraId="30AD8C5E" w14:textId="77777777" w:rsidR="002D2897" w:rsidRDefault="002D2897" w:rsidP="002D4939">
            <w:pPr>
              <w:rPr>
                <w:rFonts w:ascii="Arial" w:hAnsi="Arial" w:cs="Arial"/>
              </w:rPr>
            </w:pPr>
          </w:p>
          <w:p w14:paraId="0CEEC15A" w14:textId="1AF2D6D3" w:rsidR="002D2897" w:rsidRDefault="002D2897" w:rsidP="00C9218B">
            <w:pPr>
              <w:jc w:val="center"/>
              <w:rPr>
                <w:rFonts w:ascii="Arial" w:hAnsi="Arial" w:cs="Arial"/>
              </w:rPr>
            </w:pPr>
            <w:r>
              <w:rPr>
                <w:rFonts w:ascii="Arial" w:hAnsi="Arial" w:cs="Arial"/>
              </w:rPr>
              <w:t>X1</w:t>
            </w:r>
          </w:p>
        </w:tc>
      </w:tr>
      <w:tr w:rsidR="00D90BD5" w14:paraId="53F7809A" w14:textId="77777777" w:rsidTr="005D713B">
        <w:trPr>
          <w:trHeight w:val="1295"/>
        </w:trPr>
        <w:tc>
          <w:tcPr>
            <w:tcW w:w="1145" w:type="pct"/>
            <w:shd w:val="clear" w:color="auto" w:fill="auto"/>
          </w:tcPr>
          <w:p w14:paraId="4C442CDA" w14:textId="77777777" w:rsidR="002D2897" w:rsidRPr="0013017A" w:rsidRDefault="002D2897" w:rsidP="002D4939">
            <w:pPr>
              <w:pStyle w:val="Listenabsatz"/>
              <w:ind w:left="928"/>
              <w:rPr>
                <w:rFonts w:ascii="Arial" w:hAnsi="Arial" w:cs="Arial"/>
                <w:bCs/>
                <w:i/>
              </w:rPr>
            </w:pPr>
          </w:p>
          <w:p w14:paraId="6E797D83" w14:textId="77777777" w:rsidR="002D2897" w:rsidRPr="000B2C7D" w:rsidRDefault="002D2897" w:rsidP="00E44262">
            <w:pPr>
              <w:pStyle w:val="Listenabsatz"/>
              <w:numPr>
                <w:ilvl w:val="0"/>
                <w:numId w:val="2"/>
              </w:numPr>
              <w:ind w:left="470" w:hanging="357"/>
              <w:rPr>
                <w:rFonts w:ascii="Arial" w:hAnsi="Arial" w:cs="Arial"/>
                <w:bCs/>
                <w:i/>
              </w:rPr>
            </w:pPr>
            <w:r w:rsidRPr="000B2C7D">
              <w:rPr>
                <w:rFonts w:ascii="Arial" w:hAnsi="Arial" w:cs="Arial"/>
                <w:bCs/>
              </w:rPr>
              <w:t>Reinigung des Wohnraums und der Gemeinschaftsräume (Sichtreinigung, Unterhaltsreinigung, Grundreinigung und der übrigen Räume entsprechend Hygiene-/Reinigungsplan und darüber hinaus im Bedarfsfall)</w:t>
            </w:r>
          </w:p>
          <w:p w14:paraId="45D0EE05" w14:textId="77777777" w:rsidR="002D2897" w:rsidRPr="000B2C7D" w:rsidRDefault="002D2897" w:rsidP="002D4939">
            <w:pPr>
              <w:pStyle w:val="Listenabsatz"/>
              <w:ind w:left="928"/>
              <w:rPr>
                <w:rFonts w:ascii="Arial" w:hAnsi="Arial" w:cs="Arial"/>
                <w:bCs/>
                <w:i/>
              </w:rPr>
            </w:pPr>
          </w:p>
        </w:tc>
        <w:tc>
          <w:tcPr>
            <w:tcW w:w="1116" w:type="pct"/>
            <w:shd w:val="clear" w:color="auto" w:fill="AEAAAA" w:themeFill="background2" w:themeFillShade="BF"/>
          </w:tcPr>
          <w:p w14:paraId="7B481127" w14:textId="77777777" w:rsidR="002D2897" w:rsidRPr="000B2C7D" w:rsidRDefault="002D2897" w:rsidP="002D4939">
            <w:pPr>
              <w:jc w:val="center"/>
              <w:rPr>
                <w:rFonts w:ascii="Arial" w:hAnsi="Arial" w:cs="Arial"/>
              </w:rPr>
            </w:pPr>
          </w:p>
          <w:p w14:paraId="16C6EF1F" w14:textId="77777777" w:rsidR="002D2897" w:rsidRPr="000B2C7D" w:rsidRDefault="002D2897" w:rsidP="002D4939">
            <w:pPr>
              <w:rPr>
                <w:rFonts w:ascii="Arial" w:hAnsi="Arial" w:cs="Arial"/>
              </w:rPr>
            </w:pPr>
            <w:r w:rsidRPr="000B2C7D">
              <w:rPr>
                <w:rFonts w:ascii="Arial" w:hAnsi="Arial" w:cs="Arial"/>
              </w:rPr>
              <w:t xml:space="preserve">Alle Räumlichkeiten werden durch den LE </w:t>
            </w:r>
            <w:r w:rsidRPr="000B2C7D">
              <w:rPr>
                <w:rFonts w:ascii="Arial" w:hAnsi="Arial" w:cs="Arial"/>
                <w:bCs/>
              </w:rPr>
              <w:t xml:space="preserve">entsprechend Hygiene-/Reinigungsplan </w:t>
            </w:r>
            <w:r w:rsidRPr="000B2C7D">
              <w:rPr>
                <w:rFonts w:ascii="Arial" w:hAnsi="Arial" w:cs="Arial"/>
              </w:rPr>
              <w:t>gereinigt</w:t>
            </w:r>
          </w:p>
        </w:tc>
        <w:tc>
          <w:tcPr>
            <w:tcW w:w="1086" w:type="pct"/>
            <w:shd w:val="clear" w:color="auto" w:fill="D0CECE" w:themeFill="background2" w:themeFillShade="E6"/>
          </w:tcPr>
          <w:p w14:paraId="68D025BE" w14:textId="77777777" w:rsidR="002D2897" w:rsidRPr="000B2C7D" w:rsidRDefault="002D2897" w:rsidP="002D4939">
            <w:pPr>
              <w:jc w:val="center"/>
              <w:rPr>
                <w:rFonts w:ascii="Arial" w:hAnsi="Arial" w:cs="Arial"/>
              </w:rPr>
            </w:pPr>
          </w:p>
          <w:p w14:paraId="1444CDAE" w14:textId="77777777" w:rsidR="002D2897" w:rsidRPr="000B2C7D" w:rsidRDefault="002D2897" w:rsidP="002D4939">
            <w:pPr>
              <w:pStyle w:val="Listenabsatz"/>
              <w:numPr>
                <w:ilvl w:val="0"/>
                <w:numId w:val="2"/>
              </w:numPr>
              <w:ind w:left="470" w:hanging="357"/>
              <w:rPr>
                <w:rFonts w:ascii="Arial" w:hAnsi="Arial" w:cs="Arial"/>
              </w:rPr>
            </w:pPr>
            <w:r w:rsidRPr="000B2C7D">
              <w:rPr>
                <w:rFonts w:ascii="Arial" w:hAnsi="Arial" w:cs="Arial"/>
              </w:rPr>
              <w:t xml:space="preserve">LB und LE teilen sich die Reinigung der Wohnräumlichkeiten und zusätzlichen Räumlichkeiten innerhalb der Wohngruppe </w:t>
            </w:r>
          </w:p>
          <w:p w14:paraId="2E935604" w14:textId="77777777" w:rsidR="002D2897" w:rsidRPr="000B2C7D" w:rsidRDefault="002D2897" w:rsidP="002D4939">
            <w:pPr>
              <w:pStyle w:val="Listenabsatz"/>
              <w:numPr>
                <w:ilvl w:val="0"/>
                <w:numId w:val="2"/>
              </w:numPr>
              <w:ind w:left="470" w:hanging="357"/>
              <w:rPr>
                <w:rFonts w:ascii="Arial" w:hAnsi="Arial" w:cs="Arial"/>
              </w:rPr>
            </w:pPr>
            <w:r w:rsidRPr="000B2C7D">
              <w:rPr>
                <w:rFonts w:ascii="Arial" w:hAnsi="Arial" w:cs="Arial"/>
              </w:rPr>
              <w:t>Grundreinigung erfolgt über LE</w:t>
            </w:r>
          </w:p>
          <w:p w14:paraId="6557AE11" w14:textId="77777777" w:rsidR="002D2897" w:rsidRPr="000B2C7D" w:rsidRDefault="002D2897" w:rsidP="002D4939">
            <w:pPr>
              <w:rPr>
                <w:rFonts w:ascii="Arial" w:hAnsi="Arial" w:cs="Arial"/>
              </w:rPr>
            </w:pPr>
          </w:p>
        </w:tc>
        <w:tc>
          <w:tcPr>
            <w:tcW w:w="1093" w:type="pct"/>
            <w:gridSpan w:val="2"/>
            <w:shd w:val="clear" w:color="auto" w:fill="E7E6E6" w:themeFill="background2"/>
          </w:tcPr>
          <w:p w14:paraId="6FBDC17A" w14:textId="77777777" w:rsidR="002D2897" w:rsidRPr="000B2C7D" w:rsidRDefault="002D2897" w:rsidP="002D4939">
            <w:pPr>
              <w:rPr>
                <w:rFonts w:ascii="Arial" w:hAnsi="Arial" w:cs="Arial"/>
              </w:rPr>
            </w:pPr>
          </w:p>
          <w:p w14:paraId="5DB45676" w14:textId="77777777" w:rsidR="002D2897" w:rsidRPr="000B2C7D" w:rsidRDefault="002D2897" w:rsidP="002D4939">
            <w:pPr>
              <w:pStyle w:val="Listenabsatz"/>
              <w:numPr>
                <w:ilvl w:val="0"/>
                <w:numId w:val="2"/>
              </w:numPr>
              <w:ind w:left="470" w:hanging="357"/>
              <w:rPr>
                <w:rFonts w:ascii="Arial" w:hAnsi="Arial" w:cs="Arial"/>
              </w:rPr>
            </w:pPr>
            <w:r w:rsidRPr="000B2C7D">
              <w:rPr>
                <w:rFonts w:ascii="Arial" w:hAnsi="Arial" w:cs="Arial"/>
              </w:rPr>
              <w:t>Alle Wohnräumlichkeiten und zusätzliche Räumlichkeiten innerhalb der Wohngruppe werden durch den LB, ggf. mit Assistenz zur Befähigung</w:t>
            </w:r>
          </w:p>
          <w:p w14:paraId="6A65D17E" w14:textId="77777777" w:rsidR="002D2897" w:rsidRPr="000B2C7D" w:rsidRDefault="002D2897" w:rsidP="002D4939">
            <w:pPr>
              <w:pStyle w:val="Listenabsatz"/>
              <w:numPr>
                <w:ilvl w:val="0"/>
                <w:numId w:val="2"/>
              </w:numPr>
              <w:ind w:left="470" w:hanging="357"/>
              <w:rPr>
                <w:rFonts w:ascii="Arial" w:hAnsi="Arial" w:cs="Arial"/>
              </w:rPr>
            </w:pPr>
            <w:r w:rsidRPr="000B2C7D">
              <w:rPr>
                <w:rFonts w:ascii="Arial" w:hAnsi="Arial" w:cs="Arial"/>
              </w:rPr>
              <w:t>Grundreinigung erfolgt über LE</w:t>
            </w:r>
          </w:p>
        </w:tc>
        <w:tc>
          <w:tcPr>
            <w:tcW w:w="560" w:type="pct"/>
          </w:tcPr>
          <w:p w14:paraId="5F22CCCD" w14:textId="010DB58B" w:rsidR="002D2897" w:rsidRDefault="002D2897" w:rsidP="002D4939">
            <w:pPr>
              <w:jc w:val="center"/>
              <w:rPr>
                <w:rFonts w:ascii="Arial" w:hAnsi="Arial" w:cs="Arial"/>
              </w:rPr>
            </w:pPr>
            <w:r>
              <w:rPr>
                <w:rFonts w:ascii="Arial" w:hAnsi="Arial" w:cs="Arial"/>
              </w:rPr>
              <w:t>X1</w:t>
            </w:r>
          </w:p>
        </w:tc>
      </w:tr>
      <w:tr w:rsidR="0050621E" w14:paraId="5BE48FA9" w14:textId="77777777" w:rsidTr="00C97C38">
        <w:tc>
          <w:tcPr>
            <w:tcW w:w="1145" w:type="pct"/>
          </w:tcPr>
          <w:p w14:paraId="42392BFE" w14:textId="77777777" w:rsidR="0050621E" w:rsidRDefault="0050621E" w:rsidP="00C97C38">
            <w:pPr>
              <w:pStyle w:val="Listenabsatz"/>
              <w:ind w:left="928"/>
              <w:rPr>
                <w:rFonts w:ascii="Arial" w:hAnsi="Arial" w:cs="Arial"/>
                <w:bCs/>
              </w:rPr>
            </w:pPr>
          </w:p>
          <w:p w14:paraId="26598644" w14:textId="77777777" w:rsidR="0050621E" w:rsidRDefault="0050621E" w:rsidP="00C97C38">
            <w:pPr>
              <w:pStyle w:val="Listenabsatz"/>
              <w:numPr>
                <w:ilvl w:val="0"/>
                <w:numId w:val="2"/>
              </w:numPr>
              <w:ind w:left="470" w:hanging="357"/>
              <w:rPr>
                <w:rFonts w:ascii="Arial" w:hAnsi="Arial" w:cs="Arial"/>
                <w:bCs/>
              </w:rPr>
            </w:pPr>
            <w:r w:rsidRPr="006F0527">
              <w:rPr>
                <w:rFonts w:ascii="Arial" w:hAnsi="Arial" w:cs="Arial"/>
                <w:bCs/>
              </w:rPr>
              <w:t xml:space="preserve">Zubereitung und bedarfsgerechte zeitlich individuelle Bereitstellung von allen Speisen und </w:t>
            </w:r>
            <w:r>
              <w:rPr>
                <w:rFonts w:ascii="Arial" w:hAnsi="Arial" w:cs="Arial"/>
                <w:bCs/>
              </w:rPr>
              <w:t xml:space="preserve">das Vorhalten von </w:t>
            </w:r>
            <w:r w:rsidRPr="006F0527">
              <w:rPr>
                <w:rFonts w:ascii="Arial" w:hAnsi="Arial" w:cs="Arial"/>
                <w:bCs/>
              </w:rPr>
              <w:t>Getränken</w:t>
            </w:r>
            <w:r>
              <w:rPr>
                <w:rFonts w:ascii="Arial" w:hAnsi="Arial" w:cs="Arial"/>
                <w:bCs/>
              </w:rPr>
              <w:t xml:space="preserve"> in erreichbarer Nähe für die Bewohner. Maßgeblich ist hierbei Sicherstellung, dass Speisen und Getränke entsprechend verfügbar sind.</w:t>
            </w:r>
          </w:p>
          <w:p w14:paraId="5380B41F" w14:textId="77777777" w:rsidR="0050621E" w:rsidRPr="00E44262" w:rsidRDefault="0050621E" w:rsidP="00C97C38">
            <w:pPr>
              <w:rPr>
                <w:rFonts w:ascii="Arial" w:hAnsi="Arial" w:cs="Arial"/>
                <w:bCs/>
              </w:rPr>
            </w:pPr>
          </w:p>
        </w:tc>
        <w:tc>
          <w:tcPr>
            <w:tcW w:w="1116" w:type="pct"/>
            <w:shd w:val="clear" w:color="auto" w:fill="AEAAAA" w:themeFill="background2" w:themeFillShade="BF"/>
          </w:tcPr>
          <w:p w14:paraId="0B8AE5CD" w14:textId="77777777" w:rsidR="0050621E" w:rsidRDefault="0050621E" w:rsidP="00C97C38">
            <w:pPr>
              <w:rPr>
                <w:rFonts w:ascii="Arial" w:hAnsi="Arial" w:cs="Arial"/>
              </w:rPr>
            </w:pPr>
          </w:p>
          <w:p w14:paraId="6A9EA976" w14:textId="77777777" w:rsidR="0050621E" w:rsidRDefault="0050621E" w:rsidP="00C97C38">
            <w:pPr>
              <w:rPr>
                <w:rFonts w:ascii="Arial" w:hAnsi="Arial" w:cs="Arial"/>
              </w:rPr>
            </w:pPr>
            <w:r>
              <w:rPr>
                <w:rFonts w:ascii="Arial" w:hAnsi="Arial" w:cs="Arial"/>
              </w:rPr>
              <w:t>Vollständige Übernahme des LE</w:t>
            </w:r>
          </w:p>
        </w:tc>
        <w:tc>
          <w:tcPr>
            <w:tcW w:w="1086" w:type="pct"/>
            <w:shd w:val="clear" w:color="auto" w:fill="D0CECE" w:themeFill="background2" w:themeFillShade="E6"/>
          </w:tcPr>
          <w:p w14:paraId="63D7F25A" w14:textId="77777777" w:rsidR="0050621E" w:rsidRDefault="0050621E" w:rsidP="00C97C38">
            <w:pPr>
              <w:rPr>
                <w:rFonts w:ascii="Arial" w:hAnsi="Arial" w:cs="Arial"/>
              </w:rPr>
            </w:pPr>
          </w:p>
          <w:p w14:paraId="6E794268" w14:textId="77777777" w:rsidR="0050621E" w:rsidRDefault="0050621E" w:rsidP="00C97C38">
            <w:pPr>
              <w:rPr>
                <w:rFonts w:ascii="Arial" w:hAnsi="Arial" w:cs="Arial"/>
              </w:rPr>
            </w:pPr>
            <w:r>
              <w:rPr>
                <w:rFonts w:ascii="Arial" w:hAnsi="Arial" w:cs="Arial"/>
              </w:rPr>
              <w:t>Teilweise Übernahme für den Einkauf und der Zubereitung von Speisen</w:t>
            </w:r>
          </w:p>
        </w:tc>
        <w:tc>
          <w:tcPr>
            <w:tcW w:w="1093" w:type="pct"/>
            <w:gridSpan w:val="2"/>
            <w:shd w:val="clear" w:color="auto" w:fill="E7E6E6" w:themeFill="background2"/>
          </w:tcPr>
          <w:p w14:paraId="3CF57635" w14:textId="77777777" w:rsidR="0050621E" w:rsidRDefault="0050621E" w:rsidP="00C97C38">
            <w:pPr>
              <w:jc w:val="center"/>
              <w:rPr>
                <w:rFonts w:ascii="Arial" w:hAnsi="Arial" w:cs="Arial"/>
              </w:rPr>
            </w:pPr>
          </w:p>
          <w:p w14:paraId="2FC4B4C8" w14:textId="77777777" w:rsidR="0050621E" w:rsidRDefault="0050621E" w:rsidP="00C97C38">
            <w:pPr>
              <w:rPr>
                <w:rFonts w:ascii="Arial" w:hAnsi="Arial" w:cs="Arial"/>
              </w:rPr>
            </w:pPr>
            <w:r>
              <w:rPr>
                <w:rFonts w:ascii="Arial" w:hAnsi="Arial" w:cs="Arial"/>
              </w:rPr>
              <w:t>Anleitung und Unterstützung</w:t>
            </w:r>
            <w:r w:rsidDel="009103E3">
              <w:rPr>
                <w:rFonts w:ascii="Arial" w:hAnsi="Arial" w:cs="Arial"/>
              </w:rPr>
              <w:t xml:space="preserve"> </w:t>
            </w:r>
            <w:r>
              <w:rPr>
                <w:rFonts w:ascii="Arial" w:hAnsi="Arial" w:cs="Arial"/>
              </w:rPr>
              <w:t xml:space="preserve">für den Einkauf und der Zubereitung von Speisen, ggf. mit </w:t>
            </w:r>
            <w:r w:rsidRPr="00AA4774">
              <w:rPr>
                <w:rFonts w:ascii="Arial" w:hAnsi="Arial" w:cs="Arial"/>
              </w:rPr>
              <w:t xml:space="preserve">Assistenz zur Befähigung oder unter Einbeziehung von </w:t>
            </w:r>
            <w:r>
              <w:rPr>
                <w:rFonts w:ascii="Arial" w:hAnsi="Arial" w:cs="Arial"/>
              </w:rPr>
              <w:t xml:space="preserve">externen </w:t>
            </w:r>
            <w:r w:rsidRPr="00AA4774">
              <w:rPr>
                <w:rFonts w:ascii="Arial" w:hAnsi="Arial" w:cs="Arial"/>
              </w:rPr>
              <w:t xml:space="preserve">Dienstleistern </w:t>
            </w:r>
          </w:p>
        </w:tc>
        <w:tc>
          <w:tcPr>
            <w:tcW w:w="560" w:type="pct"/>
          </w:tcPr>
          <w:p w14:paraId="28583B38" w14:textId="1C36F022" w:rsidR="0050621E" w:rsidRDefault="008144C4" w:rsidP="00C97C38">
            <w:pPr>
              <w:jc w:val="center"/>
              <w:rPr>
                <w:rFonts w:ascii="Arial" w:hAnsi="Arial" w:cs="Arial"/>
              </w:rPr>
            </w:pPr>
            <w:r>
              <w:rPr>
                <w:rFonts w:ascii="Arial" w:hAnsi="Arial" w:cs="Arial"/>
              </w:rPr>
              <w:t>X1,5</w:t>
            </w:r>
          </w:p>
        </w:tc>
      </w:tr>
      <w:tr w:rsidR="00D90BD5" w14:paraId="26269259" w14:textId="77777777" w:rsidTr="005D713B">
        <w:tc>
          <w:tcPr>
            <w:tcW w:w="1145" w:type="pct"/>
          </w:tcPr>
          <w:p w14:paraId="590D7919" w14:textId="77777777" w:rsidR="002F58B3" w:rsidRDefault="002F58B3" w:rsidP="002D4939">
            <w:pPr>
              <w:pStyle w:val="Listenabsatz"/>
              <w:ind w:left="928"/>
              <w:rPr>
                <w:rFonts w:ascii="Arial" w:hAnsi="Arial" w:cs="Arial"/>
                <w:bCs/>
              </w:rPr>
            </w:pPr>
          </w:p>
          <w:p w14:paraId="0AD0F3F9" w14:textId="1A427764" w:rsidR="00E44262" w:rsidRPr="00E44262" w:rsidRDefault="002F58B3" w:rsidP="00E44262">
            <w:pPr>
              <w:pStyle w:val="Listenabsatz"/>
              <w:numPr>
                <w:ilvl w:val="0"/>
                <w:numId w:val="2"/>
              </w:numPr>
              <w:ind w:left="470" w:hanging="357"/>
              <w:rPr>
                <w:rFonts w:ascii="Arial" w:hAnsi="Arial" w:cs="Arial"/>
                <w:bCs/>
              </w:rPr>
            </w:pPr>
            <w:r w:rsidRPr="00E44262">
              <w:rPr>
                <w:rFonts w:ascii="Arial" w:hAnsi="Arial" w:cs="Arial"/>
                <w:bCs/>
              </w:rPr>
              <w:t>Wartung und Unterhaltung von Gebäuden, Einrichtung, Ausstattung, technische Anlagen und Außenanlagen</w:t>
            </w:r>
          </w:p>
          <w:p w14:paraId="0CEC9A2F" w14:textId="77777777" w:rsidR="002F58B3" w:rsidRPr="006F0527" w:rsidRDefault="002F58B3" w:rsidP="002D4939">
            <w:pPr>
              <w:pStyle w:val="Listenabsatz"/>
              <w:ind w:left="928"/>
              <w:rPr>
                <w:rFonts w:ascii="Arial" w:hAnsi="Arial" w:cs="Arial"/>
                <w:bCs/>
              </w:rPr>
            </w:pPr>
          </w:p>
        </w:tc>
        <w:tc>
          <w:tcPr>
            <w:tcW w:w="1116" w:type="pct"/>
            <w:shd w:val="clear" w:color="auto" w:fill="AEAAAA" w:themeFill="background2" w:themeFillShade="BF"/>
          </w:tcPr>
          <w:p w14:paraId="6BE3B724" w14:textId="77777777" w:rsidR="002F58B3" w:rsidRDefault="002F58B3" w:rsidP="002D4939">
            <w:pPr>
              <w:rPr>
                <w:rFonts w:ascii="Arial" w:hAnsi="Arial" w:cs="Arial"/>
              </w:rPr>
            </w:pPr>
          </w:p>
        </w:tc>
        <w:tc>
          <w:tcPr>
            <w:tcW w:w="1086" w:type="pct"/>
            <w:shd w:val="clear" w:color="auto" w:fill="D0CECE" w:themeFill="background2" w:themeFillShade="E6"/>
          </w:tcPr>
          <w:p w14:paraId="19F5D784" w14:textId="77777777" w:rsidR="002F58B3" w:rsidRDefault="002F58B3" w:rsidP="002D4939">
            <w:pPr>
              <w:rPr>
                <w:rFonts w:ascii="Arial" w:hAnsi="Arial" w:cs="Arial"/>
              </w:rPr>
            </w:pPr>
          </w:p>
        </w:tc>
        <w:tc>
          <w:tcPr>
            <w:tcW w:w="1093" w:type="pct"/>
            <w:gridSpan w:val="2"/>
            <w:shd w:val="clear" w:color="auto" w:fill="E7E6E6" w:themeFill="background2"/>
          </w:tcPr>
          <w:p w14:paraId="0759AB1D" w14:textId="77777777" w:rsidR="002F58B3" w:rsidRDefault="002F58B3" w:rsidP="002D4939">
            <w:pPr>
              <w:jc w:val="center"/>
              <w:rPr>
                <w:rFonts w:ascii="Arial" w:hAnsi="Arial" w:cs="Arial"/>
              </w:rPr>
            </w:pPr>
          </w:p>
          <w:p w14:paraId="160627F1" w14:textId="77777777" w:rsidR="002F58B3" w:rsidRDefault="002F58B3" w:rsidP="003C74C7">
            <w:pPr>
              <w:rPr>
                <w:rFonts w:ascii="Arial" w:hAnsi="Arial" w:cs="Arial"/>
              </w:rPr>
            </w:pPr>
            <w:r>
              <w:rPr>
                <w:rFonts w:ascii="Arial" w:hAnsi="Arial" w:cs="Arial"/>
              </w:rPr>
              <w:t>Liegt im Normalfall auch bei dem Vermieter</w:t>
            </w:r>
          </w:p>
        </w:tc>
        <w:tc>
          <w:tcPr>
            <w:tcW w:w="560" w:type="pct"/>
          </w:tcPr>
          <w:p w14:paraId="05370911" w14:textId="05FA58A3" w:rsidR="002F58B3" w:rsidRDefault="002F58B3" w:rsidP="002D4939">
            <w:pPr>
              <w:jc w:val="center"/>
              <w:rPr>
                <w:rFonts w:ascii="Arial" w:hAnsi="Arial" w:cs="Arial"/>
              </w:rPr>
            </w:pPr>
            <w:r>
              <w:rPr>
                <w:rFonts w:ascii="Arial" w:hAnsi="Arial" w:cs="Arial"/>
              </w:rPr>
              <w:t>X1</w:t>
            </w:r>
          </w:p>
        </w:tc>
      </w:tr>
      <w:tr w:rsidR="00D90BD5" w14:paraId="12A7F959" w14:textId="77777777" w:rsidTr="005D713B">
        <w:tc>
          <w:tcPr>
            <w:tcW w:w="1145" w:type="pct"/>
          </w:tcPr>
          <w:p w14:paraId="30C92305" w14:textId="77777777" w:rsidR="002F58B3" w:rsidRDefault="002F58B3" w:rsidP="002D4939">
            <w:pPr>
              <w:pStyle w:val="Listenabsatz"/>
              <w:ind w:left="928"/>
              <w:rPr>
                <w:rFonts w:ascii="Arial" w:hAnsi="Arial" w:cs="Arial"/>
                <w:bCs/>
              </w:rPr>
            </w:pPr>
          </w:p>
          <w:p w14:paraId="2F51439F" w14:textId="77777777" w:rsidR="002F58B3" w:rsidRDefault="002F58B3" w:rsidP="00E44262">
            <w:pPr>
              <w:pStyle w:val="Listenabsatz"/>
              <w:numPr>
                <w:ilvl w:val="0"/>
                <w:numId w:val="2"/>
              </w:numPr>
              <w:ind w:left="470" w:hanging="357"/>
              <w:rPr>
                <w:rFonts w:ascii="Arial" w:hAnsi="Arial" w:cs="Arial"/>
                <w:bCs/>
              </w:rPr>
            </w:pPr>
            <w:r w:rsidRPr="00162431">
              <w:rPr>
                <w:rFonts w:ascii="Arial" w:hAnsi="Arial" w:cs="Arial"/>
                <w:bCs/>
              </w:rPr>
              <w:t>Bereitstellung,</w:t>
            </w:r>
            <w:r w:rsidRPr="004D7266">
              <w:rPr>
                <w:rFonts w:ascii="Arial" w:hAnsi="Arial" w:cs="Arial"/>
                <w:bCs/>
              </w:rPr>
              <w:t xml:space="preserve"> Instandhaltung und Reinigung der Haushalts- und Bettwäsche sowie</w:t>
            </w:r>
            <w:r>
              <w:rPr>
                <w:rFonts w:ascii="Arial" w:hAnsi="Arial" w:cs="Arial"/>
                <w:bCs/>
              </w:rPr>
              <w:t xml:space="preserve"> </w:t>
            </w:r>
            <w:r w:rsidRPr="004D7266">
              <w:rPr>
                <w:rFonts w:ascii="Arial" w:hAnsi="Arial" w:cs="Arial"/>
                <w:bCs/>
              </w:rPr>
              <w:t>das maschinelle Waschen und ggf. kleine Instandsetzungen der persönlichen Wäsche und Kleidung,</w:t>
            </w:r>
            <w:r>
              <w:rPr>
                <w:rFonts w:ascii="Arial" w:hAnsi="Arial" w:cs="Arial"/>
                <w:bCs/>
              </w:rPr>
              <w:t xml:space="preserve"> </w:t>
            </w:r>
          </w:p>
          <w:p w14:paraId="49349239" w14:textId="77777777" w:rsidR="002F58B3" w:rsidRDefault="002F58B3" w:rsidP="00E44262">
            <w:pPr>
              <w:pStyle w:val="Listenabsatz"/>
              <w:ind w:left="470"/>
              <w:rPr>
                <w:rFonts w:ascii="Arial" w:hAnsi="Arial" w:cs="Arial"/>
                <w:bCs/>
              </w:rPr>
            </w:pPr>
            <w:r w:rsidRPr="004D7266">
              <w:rPr>
                <w:rFonts w:ascii="Arial" w:hAnsi="Arial" w:cs="Arial"/>
                <w:bCs/>
              </w:rPr>
              <w:t>Das Wechseln der Wäsche erfolgt nach Bedarf. Beim Einräumen der Wäsche wird ggfls. Unterstützung geleistet.</w:t>
            </w:r>
          </w:p>
          <w:p w14:paraId="5B9BE534" w14:textId="232B24EE" w:rsidR="00E44262" w:rsidRPr="0013017A" w:rsidRDefault="00E44262" w:rsidP="00E44262">
            <w:pPr>
              <w:pStyle w:val="Listenabsatz"/>
              <w:ind w:left="470"/>
              <w:rPr>
                <w:rFonts w:ascii="Arial" w:hAnsi="Arial" w:cs="Arial"/>
                <w:bCs/>
              </w:rPr>
            </w:pPr>
          </w:p>
        </w:tc>
        <w:tc>
          <w:tcPr>
            <w:tcW w:w="1116" w:type="pct"/>
            <w:shd w:val="clear" w:color="auto" w:fill="AEAAAA" w:themeFill="background2" w:themeFillShade="BF"/>
          </w:tcPr>
          <w:p w14:paraId="06B4EFCF" w14:textId="77777777" w:rsidR="002F58B3" w:rsidRDefault="002F58B3" w:rsidP="002D4939">
            <w:pPr>
              <w:rPr>
                <w:rFonts w:ascii="Arial" w:hAnsi="Arial" w:cs="Arial"/>
              </w:rPr>
            </w:pPr>
          </w:p>
          <w:p w14:paraId="66608B99" w14:textId="77777777" w:rsidR="002F58B3" w:rsidRDefault="002F58B3" w:rsidP="00C407CF">
            <w:pPr>
              <w:rPr>
                <w:rFonts w:ascii="Arial" w:hAnsi="Arial" w:cs="Arial"/>
              </w:rPr>
            </w:pPr>
            <w:r>
              <w:rPr>
                <w:rFonts w:ascii="Arial" w:hAnsi="Arial" w:cs="Arial"/>
              </w:rPr>
              <w:t>Vollständige Übernahme des LE</w:t>
            </w:r>
          </w:p>
        </w:tc>
        <w:tc>
          <w:tcPr>
            <w:tcW w:w="1086" w:type="pct"/>
            <w:shd w:val="clear" w:color="auto" w:fill="D0CECE" w:themeFill="background2" w:themeFillShade="E6"/>
          </w:tcPr>
          <w:p w14:paraId="20D85DA7" w14:textId="77777777" w:rsidR="002F58B3" w:rsidRDefault="002F58B3" w:rsidP="002D4939">
            <w:pPr>
              <w:rPr>
                <w:rFonts w:ascii="Arial" w:hAnsi="Arial" w:cs="Arial"/>
              </w:rPr>
            </w:pPr>
          </w:p>
          <w:p w14:paraId="278D86D1" w14:textId="77777777" w:rsidR="002F58B3" w:rsidRDefault="002F58B3" w:rsidP="002D4939">
            <w:pPr>
              <w:rPr>
                <w:rFonts w:ascii="Arial" w:hAnsi="Arial" w:cs="Arial"/>
              </w:rPr>
            </w:pPr>
            <w:r>
              <w:rPr>
                <w:rFonts w:ascii="Arial" w:hAnsi="Arial" w:cs="Arial"/>
              </w:rPr>
              <w:t>Teilweise Übernahme, der Wäscheversorgung</w:t>
            </w:r>
          </w:p>
          <w:p w14:paraId="7B79CDC6" w14:textId="77777777" w:rsidR="002F58B3" w:rsidRDefault="002F58B3" w:rsidP="002D4939">
            <w:pPr>
              <w:rPr>
                <w:rFonts w:ascii="Arial" w:hAnsi="Arial" w:cs="Arial"/>
              </w:rPr>
            </w:pPr>
          </w:p>
          <w:p w14:paraId="0AD81A92" w14:textId="77777777" w:rsidR="002F58B3" w:rsidRDefault="002F58B3" w:rsidP="002D4939">
            <w:pPr>
              <w:rPr>
                <w:rFonts w:ascii="Arial" w:hAnsi="Arial" w:cs="Arial"/>
              </w:rPr>
            </w:pPr>
          </w:p>
        </w:tc>
        <w:tc>
          <w:tcPr>
            <w:tcW w:w="1093" w:type="pct"/>
            <w:gridSpan w:val="2"/>
            <w:shd w:val="clear" w:color="auto" w:fill="E7E6E6" w:themeFill="background2"/>
          </w:tcPr>
          <w:p w14:paraId="1F800D69" w14:textId="77777777" w:rsidR="002F58B3" w:rsidRDefault="002F58B3" w:rsidP="002D4939">
            <w:pPr>
              <w:rPr>
                <w:rFonts w:ascii="Arial" w:hAnsi="Arial" w:cs="Arial"/>
              </w:rPr>
            </w:pPr>
          </w:p>
          <w:p w14:paraId="0E8F3BBB" w14:textId="77777777" w:rsidR="002F58B3" w:rsidRDefault="002F58B3" w:rsidP="002D4939">
            <w:pPr>
              <w:rPr>
                <w:rFonts w:ascii="Arial" w:hAnsi="Arial" w:cs="Arial"/>
              </w:rPr>
            </w:pPr>
            <w:r>
              <w:rPr>
                <w:rFonts w:ascii="Arial" w:hAnsi="Arial" w:cs="Arial"/>
              </w:rPr>
              <w:t xml:space="preserve">Anleitung und Unterstützung für die Wäscheversorgung, ggf. mit </w:t>
            </w:r>
            <w:r w:rsidRPr="00AA4774">
              <w:rPr>
                <w:rFonts w:ascii="Arial" w:hAnsi="Arial" w:cs="Arial"/>
              </w:rPr>
              <w:t xml:space="preserve">Assistenz zur Befähigung oder unter Einbeziehung von </w:t>
            </w:r>
            <w:r>
              <w:rPr>
                <w:rFonts w:ascii="Arial" w:hAnsi="Arial" w:cs="Arial"/>
              </w:rPr>
              <w:t xml:space="preserve">externen </w:t>
            </w:r>
            <w:r w:rsidRPr="00AA4774">
              <w:rPr>
                <w:rFonts w:ascii="Arial" w:hAnsi="Arial" w:cs="Arial"/>
              </w:rPr>
              <w:t xml:space="preserve">Dienstleistern </w:t>
            </w:r>
          </w:p>
          <w:p w14:paraId="27F32C75" w14:textId="77777777" w:rsidR="002F58B3" w:rsidRDefault="002F58B3" w:rsidP="002D4939">
            <w:pPr>
              <w:rPr>
                <w:rFonts w:ascii="Arial" w:hAnsi="Arial" w:cs="Arial"/>
              </w:rPr>
            </w:pPr>
          </w:p>
          <w:p w14:paraId="36FD4ED5" w14:textId="77777777" w:rsidR="002F58B3" w:rsidRPr="00AA4774" w:rsidRDefault="002F58B3" w:rsidP="002D4939">
            <w:pPr>
              <w:rPr>
                <w:rFonts w:ascii="Arial" w:hAnsi="Arial" w:cs="Arial"/>
              </w:rPr>
            </w:pPr>
          </w:p>
        </w:tc>
        <w:tc>
          <w:tcPr>
            <w:tcW w:w="560" w:type="pct"/>
          </w:tcPr>
          <w:p w14:paraId="2EC6226A" w14:textId="70270F19" w:rsidR="002F58B3" w:rsidRDefault="002F58B3" w:rsidP="002D4939">
            <w:pPr>
              <w:jc w:val="center"/>
              <w:rPr>
                <w:rFonts w:ascii="Arial" w:hAnsi="Arial" w:cs="Arial"/>
              </w:rPr>
            </w:pPr>
            <w:r>
              <w:rPr>
                <w:rFonts w:ascii="Arial" w:hAnsi="Arial" w:cs="Arial"/>
              </w:rPr>
              <w:t>X1</w:t>
            </w:r>
          </w:p>
        </w:tc>
      </w:tr>
      <w:tr w:rsidR="002D4939" w14:paraId="1D50F6A2" w14:textId="77777777" w:rsidTr="005D713B">
        <w:tc>
          <w:tcPr>
            <w:tcW w:w="5000" w:type="pct"/>
            <w:gridSpan w:val="6"/>
          </w:tcPr>
          <w:p w14:paraId="7F4AD4EC" w14:textId="77777777" w:rsidR="002D4939" w:rsidRDefault="002D4939" w:rsidP="002D4939">
            <w:pPr>
              <w:jc w:val="center"/>
              <w:rPr>
                <w:rFonts w:ascii="Arial" w:hAnsi="Arial" w:cs="Arial"/>
                <w:b/>
                <w:bCs/>
              </w:rPr>
            </w:pPr>
          </w:p>
          <w:p w14:paraId="74D75EF0" w14:textId="77777777" w:rsidR="002D4939" w:rsidRPr="009834CC" w:rsidRDefault="002D4939" w:rsidP="002D4939">
            <w:pPr>
              <w:jc w:val="center"/>
              <w:rPr>
                <w:rFonts w:ascii="Arial" w:hAnsi="Arial" w:cs="Arial"/>
                <w:b/>
                <w:bCs/>
              </w:rPr>
            </w:pPr>
            <w:r w:rsidRPr="009834CC">
              <w:rPr>
                <w:rFonts w:ascii="Arial" w:hAnsi="Arial" w:cs="Arial"/>
                <w:b/>
                <w:bCs/>
              </w:rPr>
              <w:t>Räumliche und sächliche Auss</w:t>
            </w:r>
            <w:r>
              <w:rPr>
                <w:rFonts w:ascii="Arial" w:hAnsi="Arial" w:cs="Arial"/>
                <w:b/>
                <w:bCs/>
              </w:rPr>
              <w:t>t</w:t>
            </w:r>
            <w:r w:rsidRPr="009834CC">
              <w:rPr>
                <w:rFonts w:ascii="Arial" w:hAnsi="Arial" w:cs="Arial"/>
                <w:b/>
                <w:bCs/>
              </w:rPr>
              <w:t>attung</w:t>
            </w:r>
          </w:p>
          <w:p w14:paraId="05620B1C" w14:textId="77777777" w:rsidR="002D4939" w:rsidRDefault="002D4939" w:rsidP="002D4939">
            <w:pPr>
              <w:jc w:val="center"/>
              <w:rPr>
                <w:rFonts w:ascii="Arial" w:hAnsi="Arial" w:cs="Arial"/>
              </w:rPr>
            </w:pPr>
          </w:p>
        </w:tc>
      </w:tr>
      <w:tr w:rsidR="00463A91" w14:paraId="4DF535FF" w14:textId="77777777" w:rsidTr="00C97C38">
        <w:tc>
          <w:tcPr>
            <w:tcW w:w="1145" w:type="pct"/>
          </w:tcPr>
          <w:p w14:paraId="46C9C0DF" w14:textId="77777777" w:rsidR="00463A91" w:rsidRDefault="00463A91" w:rsidP="00C97C38">
            <w:pPr>
              <w:pStyle w:val="Listenabsatz"/>
              <w:ind w:left="928"/>
              <w:rPr>
                <w:rFonts w:ascii="Arial" w:hAnsi="Arial" w:cs="Arial"/>
                <w:bCs/>
              </w:rPr>
            </w:pPr>
          </w:p>
          <w:p w14:paraId="44F8FAE3" w14:textId="77777777" w:rsidR="00463A91" w:rsidRPr="006F0527" w:rsidRDefault="00463A91" w:rsidP="00C97C38">
            <w:pPr>
              <w:pStyle w:val="Listenabsatz"/>
              <w:numPr>
                <w:ilvl w:val="0"/>
                <w:numId w:val="2"/>
              </w:numPr>
              <w:ind w:left="470" w:hanging="357"/>
              <w:rPr>
                <w:rFonts w:ascii="Arial" w:hAnsi="Arial" w:cs="Arial"/>
                <w:bCs/>
              </w:rPr>
            </w:pPr>
            <w:r w:rsidRPr="006F0527">
              <w:rPr>
                <w:rFonts w:ascii="Arial" w:hAnsi="Arial" w:cs="Arial"/>
                <w:bCs/>
              </w:rPr>
              <w:t>24h/</w:t>
            </w:r>
            <w:r>
              <w:rPr>
                <w:rFonts w:ascii="Arial" w:hAnsi="Arial" w:cs="Arial"/>
                <w:bCs/>
              </w:rPr>
              <w:t xml:space="preserve">mind. </w:t>
            </w:r>
            <w:r w:rsidRPr="006F0527">
              <w:rPr>
                <w:rFonts w:ascii="Arial" w:hAnsi="Arial" w:cs="Arial"/>
                <w:bCs/>
              </w:rPr>
              <w:t>5 Tage</w:t>
            </w:r>
          </w:p>
          <w:p w14:paraId="1EBDA212" w14:textId="77777777" w:rsidR="00463A91" w:rsidRPr="006F0527" w:rsidRDefault="00463A91" w:rsidP="00C97C38">
            <w:pPr>
              <w:pStyle w:val="Listenabsatz"/>
              <w:numPr>
                <w:ilvl w:val="0"/>
                <w:numId w:val="2"/>
              </w:numPr>
              <w:ind w:left="470" w:hanging="357"/>
              <w:rPr>
                <w:rFonts w:ascii="Arial" w:hAnsi="Arial" w:cs="Arial"/>
                <w:bCs/>
              </w:rPr>
            </w:pPr>
            <w:r>
              <w:rPr>
                <w:rFonts w:ascii="Arial" w:hAnsi="Arial" w:cs="Arial"/>
                <w:bCs/>
              </w:rPr>
              <w:t xml:space="preserve">Unterstützung </w:t>
            </w:r>
            <w:r w:rsidRPr="006F0527">
              <w:rPr>
                <w:rFonts w:ascii="Arial" w:hAnsi="Arial" w:cs="Arial"/>
                <w:bCs/>
              </w:rPr>
              <w:t>unter ständiger Verantwortung geeigneten Personals</w:t>
            </w:r>
          </w:p>
          <w:p w14:paraId="6BFF4A94" w14:textId="77777777" w:rsidR="00463A91" w:rsidRPr="006F0527" w:rsidRDefault="00463A91" w:rsidP="00C97C38">
            <w:pPr>
              <w:pStyle w:val="Listenabsatz"/>
              <w:ind w:left="928"/>
              <w:rPr>
                <w:rFonts w:ascii="Arial" w:hAnsi="Arial" w:cs="Arial"/>
                <w:bCs/>
              </w:rPr>
            </w:pPr>
          </w:p>
        </w:tc>
        <w:tc>
          <w:tcPr>
            <w:tcW w:w="1116" w:type="pct"/>
            <w:shd w:val="clear" w:color="auto" w:fill="AEAAAA" w:themeFill="background2" w:themeFillShade="BF"/>
          </w:tcPr>
          <w:p w14:paraId="3BDCF8E4" w14:textId="77777777" w:rsidR="00463A91" w:rsidRDefault="00463A91" w:rsidP="00C97C38">
            <w:pPr>
              <w:rPr>
                <w:rFonts w:ascii="Arial" w:hAnsi="Arial" w:cs="Arial"/>
              </w:rPr>
            </w:pPr>
          </w:p>
          <w:p w14:paraId="274516AD" w14:textId="77777777" w:rsidR="00463A91" w:rsidRDefault="00463A91" w:rsidP="00C97C38">
            <w:pPr>
              <w:pStyle w:val="Listenabsatz"/>
              <w:numPr>
                <w:ilvl w:val="0"/>
                <w:numId w:val="2"/>
              </w:numPr>
              <w:ind w:left="470" w:hanging="357"/>
              <w:rPr>
                <w:rFonts w:ascii="Arial" w:hAnsi="Arial" w:cs="Arial"/>
                <w:bCs/>
              </w:rPr>
            </w:pPr>
            <w:r>
              <w:rPr>
                <w:rFonts w:ascii="Arial" w:hAnsi="Arial" w:cs="Arial"/>
                <w:bCs/>
              </w:rPr>
              <w:t>Präsenz</w:t>
            </w:r>
          </w:p>
          <w:p w14:paraId="2083A824" w14:textId="77777777" w:rsidR="00463A91" w:rsidRPr="00E83FBF" w:rsidRDefault="00463A91" w:rsidP="00C97C38">
            <w:pPr>
              <w:pStyle w:val="Listenabsatz"/>
              <w:numPr>
                <w:ilvl w:val="0"/>
                <w:numId w:val="2"/>
              </w:numPr>
              <w:ind w:left="470" w:hanging="357"/>
              <w:rPr>
                <w:rFonts w:ascii="Arial" w:hAnsi="Arial" w:cs="Arial"/>
                <w:bCs/>
              </w:rPr>
            </w:pPr>
            <w:r w:rsidRPr="00E83FBF">
              <w:rPr>
                <w:rFonts w:ascii="Arial" w:hAnsi="Arial" w:cs="Arial"/>
                <w:bCs/>
              </w:rPr>
              <w:t>24h/mind. 5 Tage</w:t>
            </w:r>
          </w:p>
          <w:p w14:paraId="75D636E1" w14:textId="77777777" w:rsidR="00463A91" w:rsidRPr="00E83FBF" w:rsidRDefault="00463A91" w:rsidP="00C97C38">
            <w:pPr>
              <w:pStyle w:val="Listenabsatz"/>
              <w:numPr>
                <w:ilvl w:val="0"/>
                <w:numId w:val="2"/>
              </w:numPr>
              <w:ind w:left="470" w:hanging="357"/>
              <w:rPr>
                <w:rFonts w:ascii="Arial" w:hAnsi="Arial" w:cs="Arial"/>
                <w:bCs/>
              </w:rPr>
            </w:pPr>
            <w:r w:rsidRPr="00E83FBF">
              <w:rPr>
                <w:rFonts w:ascii="Arial" w:hAnsi="Arial" w:cs="Arial"/>
                <w:bCs/>
              </w:rPr>
              <w:t>Unterstützung unter ständiger Verantwortung geeigneten Personals</w:t>
            </w:r>
          </w:p>
          <w:p w14:paraId="360452B8" w14:textId="77777777" w:rsidR="00463A91" w:rsidRDefault="00463A91" w:rsidP="00C97C38">
            <w:pPr>
              <w:rPr>
                <w:rFonts w:ascii="Arial" w:hAnsi="Arial" w:cs="Arial"/>
              </w:rPr>
            </w:pPr>
          </w:p>
        </w:tc>
        <w:tc>
          <w:tcPr>
            <w:tcW w:w="1086" w:type="pct"/>
            <w:shd w:val="clear" w:color="auto" w:fill="D0CECE" w:themeFill="background2" w:themeFillShade="E6"/>
          </w:tcPr>
          <w:p w14:paraId="5EE635C8" w14:textId="77777777" w:rsidR="00463A91" w:rsidRDefault="00463A91" w:rsidP="00C97C38">
            <w:pPr>
              <w:rPr>
                <w:rFonts w:ascii="Arial" w:hAnsi="Arial" w:cs="Arial"/>
              </w:rPr>
            </w:pPr>
          </w:p>
          <w:p w14:paraId="40AA2ACC" w14:textId="77777777" w:rsidR="00463A91" w:rsidRDefault="00463A91" w:rsidP="00C97C38">
            <w:pPr>
              <w:pStyle w:val="Listenabsatz"/>
              <w:numPr>
                <w:ilvl w:val="0"/>
                <w:numId w:val="2"/>
              </w:numPr>
              <w:ind w:left="470" w:hanging="357"/>
              <w:rPr>
                <w:rFonts w:ascii="Arial" w:hAnsi="Arial" w:cs="Arial"/>
                <w:bCs/>
              </w:rPr>
            </w:pPr>
            <w:r>
              <w:rPr>
                <w:rFonts w:ascii="Arial" w:hAnsi="Arial" w:cs="Arial"/>
                <w:bCs/>
              </w:rPr>
              <w:t xml:space="preserve">Bereitschaft </w:t>
            </w:r>
          </w:p>
          <w:p w14:paraId="5B38B896" w14:textId="77777777" w:rsidR="00463A91" w:rsidRPr="00E83FBF" w:rsidRDefault="00463A91" w:rsidP="00C97C38">
            <w:pPr>
              <w:pStyle w:val="Listenabsatz"/>
              <w:numPr>
                <w:ilvl w:val="0"/>
                <w:numId w:val="2"/>
              </w:numPr>
              <w:ind w:left="470" w:hanging="357"/>
              <w:rPr>
                <w:rFonts w:ascii="Arial" w:hAnsi="Arial" w:cs="Arial"/>
                <w:bCs/>
              </w:rPr>
            </w:pPr>
            <w:r w:rsidRPr="00E83FBF">
              <w:rPr>
                <w:rFonts w:ascii="Arial" w:hAnsi="Arial" w:cs="Arial"/>
                <w:bCs/>
              </w:rPr>
              <w:t>24h/mind. 5 Tage</w:t>
            </w:r>
          </w:p>
          <w:p w14:paraId="2A0E4296" w14:textId="77777777" w:rsidR="00463A91" w:rsidRDefault="00463A91" w:rsidP="00C97C38">
            <w:pPr>
              <w:pStyle w:val="Listenabsatz"/>
              <w:numPr>
                <w:ilvl w:val="0"/>
                <w:numId w:val="2"/>
              </w:numPr>
              <w:ind w:left="470" w:hanging="357"/>
              <w:rPr>
                <w:rFonts w:ascii="Arial" w:hAnsi="Arial" w:cs="Arial"/>
                <w:bCs/>
              </w:rPr>
            </w:pPr>
            <w:r w:rsidRPr="00E83FBF">
              <w:rPr>
                <w:rFonts w:ascii="Arial" w:hAnsi="Arial" w:cs="Arial"/>
                <w:bCs/>
              </w:rPr>
              <w:t>Unterstützung unter ständiger Verantwortung geeigneten Personals</w:t>
            </w:r>
          </w:p>
          <w:p w14:paraId="001D4425" w14:textId="77777777" w:rsidR="00463A91" w:rsidRDefault="00463A91" w:rsidP="00C97C38">
            <w:pPr>
              <w:rPr>
                <w:rFonts w:ascii="Arial" w:hAnsi="Arial" w:cs="Arial"/>
                <w:bCs/>
              </w:rPr>
            </w:pPr>
          </w:p>
          <w:p w14:paraId="7DCBF623" w14:textId="77777777" w:rsidR="00463A91" w:rsidRPr="00521E86" w:rsidRDefault="00463A91" w:rsidP="00C97C38">
            <w:pPr>
              <w:rPr>
                <w:rFonts w:ascii="Arial" w:hAnsi="Arial" w:cs="Arial"/>
                <w:bCs/>
              </w:rPr>
            </w:pPr>
          </w:p>
          <w:p w14:paraId="14AE8D7D" w14:textId="77777777" w:rsidR="00463A91" w:rsidRDefault="00463A91" w:rsidP="00C97C38">
            <w:pPr>
              <w:rPr>
                <w:rFonts w:ascii="Arial" w:hAnsi="Arial" w:cs="Arial"/>
              </w:rPr>
            </w:pPr>
          </w:p>
        </w:tc>
        <w:tc>
          <w:tcPr>
            <w:tcW w:w="1093" w:type="pct"/>
            <w:gridSpan w:val="2"/>
            <w:shd w:val="clear" w:color="auto" w:fill="E7E6E6" w:themeFill="background2"/>
          </w:tcPr>
          <w:p w14:paraId="07769E26" w14:textId="77777777" w:rsidR="00463A91" w:rsidRDefault="00463A91" w:rsidP="00C97C38">
            <w:pPr>
              <w:rPr>
                <w:rFonts w:ascii="Arial" w:hAnsi="Arial" w:cs="Arial"/>
              </w:rPr>
            </w:pPr>
          </w:p>
          <w:p w14:paraId="6C9DD1F2" w14:textId="77777777" w:rsidR="00463A91" w:rsidRDefault="00463A91" w:rsidP="00C97C38">
            <w:pPr>
              <w:rPr>
                <w:rFonts w:ascii="Arial" w:hAnsi="Arial" w:cs="Arial"/>
              </w:rPr>
            </w:pPr>
            <w:r>
              <w:rPr>
                <w:rFonts w:ascii="Arial" w:hAnsi="Arial" w:cs="Arial"/>
              </w:rPr>
              <w:t>Rufbereitschaft</w:t>
            </w:r>
          </w:p>
          <w:p w14:paraId="7D8C2F51" w14:textId="77777777" w:rsidR="00463A91" w:rsidRDefault="00463A91" w:rsidP="00C97C38">
            <w:pPr>
              <w:rPr>
                <w:rFonts w:ascii="Arial" w:hAnsi="Arial" w:cs="Arial"/>
              </w:rPr>
            </w:pPr>
          </w:p>
        </w:tc>
        <w:tc>
          <w:tcPr>
            <w:tcW w:w="560" w:type="pct"/>
          </w:tcPr>
          <w:p w14:paraId="060020C1" w14:textId="1601938C" w:rsidR="00463A91" w:rsidRDefault="008144C4" w:rsidP="00C97C38">
            <w:pPr>
              <w:jc w:val="center"/>
              <w:rPr>
                <w:rFonts w:ascii="Arial" w:hAnsi="Arial" w:cs="Arial"/>
              </w:rPr>
            </w:pPr>
            <w:r>
              <w:rPr>
                <w:rFonts w:ascii="Arial" w:hAnsi="Arial" w:cs="Arial"/>
              </w:rPr>
              <w:t>X1,5</w:t>
            </w:r>
          </w:p>
        </w:tc>
      </w:tr>
      <w:tr w:rsidR="00D90BD5" w14:paraId="416DB106" w14:textId="77777777" w:rsidTr="005D713B">
        <w:tc>
          <w:tcPr>
            <w:tcW w:w="1145" w:type="pct"/>
          </w:tcPr>
          <w:p w14:paraId="461266F0" w14:textId="77777777" w:rsidR="003333E5" w:rsidRPr="006F0527" w:rsidRDefault="003333E5" w:rsidP="002D4939">
            <w:pPr>
              <w:pStyle w:val="Listenabsatz"/>
              <w:ind w:left="928"/>
              <w:rPr>
                <w:rFonts w:ascii="Arial" w:hAnsi="Arial" w:cs="Arial"/>
                <w:bCs/>
              </w:rPr>
            </w:pPr>
          </w:p>
          <w:p w14:paraId="4B03E6F8" w14:textId="77777777" w:rsidR="003333E5" w:rsidRDefault="003333E5" w:rsidP="00E44262">
            <w:pPr>
              <w:pStyle w:val="Listenabsatz"/>
              <w:numPr>
                <w:ilvl w:val="0"/>
                <w:numId w:val="2"/>
              </w:numPr>
              <w:ind w:left="470" w:hanging="357"/>
              <w:rPr>
                <w:rFonts w:ascii="Arial" w:hAnsi="Arial" w:cs="Arial"/>
                <w:bCs/>
              </w:rPr>
            </w:pPr>
            <w:r w:rsidRPr="006F0527">
              <w:rPr>
                <w:rFonts w:ascii="Arial" w:hAnsi="Arial" w:cs="Arial"/>
                <w:bCs/>
              </w:rPr>
              <w:t>Bereitstellung, Instandhaltung und Instandsetzung von Wohnraum, Gemeinschafts- und Funktionsräumen einschl. Inventar</w:t>
            </w:r>
            <w:r>
              <w:rPr>
                <w:rFonts w:ascii="Arial" w:hAnsi="Arial" w:cs="Arial"/>
                <w:bCs/>
              </w:rPr>
              <w:t xml:space="preserve"> </w:t>
            </w:r>
            <w:r>
              <w:rPr>
                <w:rFonts w:ascii="Arial" w:hAnsi="Arial" w:cs="Arial"/>
                <w:bCs/>
              </w:rPr>
              <w:br/>
            </w:r>
            <w:r w:rsidRPr="00CF4610">
              <w:rPr>
                <w:rFonts w:ascii="Arial" w:hAnsi="Arial" w:cs="Arial"/>
                <w:bCs/>
                <w:i/>
                <w:sz w:val="16"/>
                <w:szCs w:val="16"/>
              </w:rPr>
              <w:t>(Bereitstellung von Wohnraum siehe 1. Zeile)</w:t>
            </w:r>
          </w:p>
          <w:p w14:paraId="6FC09381" w14:textId="77777777" w:rsidR="003333E5" w:rsidRPr="006F0527" w:rsidRDefault="003333E5" w:rsidP="002D4939">
            <w:pPr>
              <w:pStyle w:val="Listenabsatz"/>
              <w:ind w:left="928"/>
              <w:rPr>
                <w:rFonts w:ascii="Arial" w:hAnsi="Arial" w:cs="Arial"/>
                <w:bCs/>
              </w:rPr>
            </w:pPr>
          </w:p>
        </w:tc>
        <w:tc>
          <w:tcPr>
            <w:tcW w:w="1116" w:type="pct"/>
            <w:shd w:val="clear" w:color="auto" w:fill="AEAAAA" w:themeFill="background2" w:themeFillShade="BF"/>
          </w:tcPr>
          <w:p w14:paraId="49E7ACC8" w14:textId="77777777" w:rsidR="003333E5" w:rsidRDefault="003333E5" w:rsidP="002D4939">
            <w:pPr>
              <w:rPr>
                <w:rFonts w:ascii="Arial" w:hAnsi="Arial" w:cs="Arial"/>
              </w:rPr>
            </w:pPr>
          </w:p>
        </w:tc>
        <w:tc>
          <w:tcPr>
            <w:tcW w:w="1086" w:type="pct"/>
            <w:shd w:val="clear" w:color="auto" w:fill="D0CECE" w:themeFill="background2" w:themeFillShade="E6"/>
          </w:tcPr>
          <w:p w14:paraId="57DC444E" w14:textId="77777777" w:rsidR="003333E5" w:rsidRDefault="003333E5" w:rsidP="008D0537">
            <w:pPr>
              <w:pStyle w:val="Listenabsatz"/>
              <w:ind w:left="470"/>
              <w:rPr>
                <w:rFonts w:ascii="Arial" w:hAnsi="Arial" w:cs="Arial"/>
              </w:rPr>
            </w:pPr>
          </w:p>
        </w:tc>
        <w:tc>
          <w:tcPr>
            <w:tcW w:w="1093" w:type="pct"/>
            <w:gridSpan w:val="2"/>
            <w:shd w:val="clear" w:color="auto" w:fill="E7E6E6" w:themeFill="background2"/>
          </w:tcPr>
          <w:p w14:paraId="38354166" w14:textId="77777777" w:rsidR="003333E5" w:rsidRPr="00402139" w:rsidRDefault="003333E5" w:rsidP="002D4939">
            <w:pPr>
              <w:rPr>
                <w:rFonts w:ascii="Arial" w:hAnsi="Arial" w:cs="Arial"/>
              </w:rPr>
            </w:pPr>
          </w:p>
          <w:p w14:paraId="6E1AB075" w14:textId="77777777" w:rsidR="003333E5" w:rsidRPr="00402139" w:rsidRDefault="003333E5" w:rsidP="002D4939">
            <w:pPr>
              <w:pStyle w:val="Listenabsatz"/>
              <w:numPr>
                <w:ilvl w:val="0"/>
                <w:numId w:val="2"/>
              </w:numPr>
              <w:ind w:left="470" w:hanging="357"/>
              <w:rPr>
                <w:rFonts w:ascii="Arial" w:hAnsi="Arial" w:cs="Arial"/>
              </w:rPr>
            </w:pPr>
            <w:r w:rsidRPr="00402139">
              <w:rPr>
                <w:rFonts w:ascii="Arial" w:hAnsi="Arial" w:cs="Arial"/>
              </w:rPr>
              <w:t xml:space="preserve">Instandhaltung und Instandsetzung von Wohnraum, Gemeinschafts- und Funktionsräumen wird vom LE gestellt oder vorgehalten. </w:t>
            </w:r>
          </w:p>
          <w:p w14:paraId="10F06082" w14:textId="77777777" w:rsidR="003333E5" w:rsidRDefault="003333E5" w:rsidP="002D4939">
            <w:pPr>
              <w:pStyle w:val="Listenabsatz"/>
              <w:numPr>
                <w:ilvl w:val="0"/>
                <w:numId w:val="2"/>
              </w:numPr>
              <w:ind w:left="470" w:hanging="357"/>
              <w:rPr>
                <w:rFonts w:ascii="Arial" w:hAnsi="Arial" w:cs="Arial"/>
              </w:rPr>
            </w:pPr>
            <w:r w:rsidRPr="00402139">
              <w:rPr>
                <w:rFonts w:ascii="Arial" w:hAnsi="Arial" w:cs="Arial"/>
              </w:rPr>
              <w:t xml:space="preserve">Das bewegliche Inventar </w:t>
            </w:r>
            <w:r>
              <w:rPr>
                <w:rFonts w:ascii="Arial" w:hAnsi="Arial" w:cs="Arial"/>
              </w:rPr>
              <w:t xml:space="preserve">(ohne z.B. Küche und Einbaumobiliar) </w:t>
            </w:r>
            <w:r w:rsidRPr="00402139">
              <w:rPr>
                <w:rFonts w:ascii="Arial" w:hAnsi="Arial" w:cs="Arial"/>
              </w:rPr>
              <w:t>für alle Räumlichkeiten liegt in Verantwortung</w:t>
            </w:r>
            <w:r>
              <w:rPr>
                <w:rFonts w:ascii="Arial" w:hAnsi="Arial" w:cs="Arial"/>
              </w:rPr>
              <w:t xml:space="preserve"> der LB.</w:t>
            </w:r>
          </w:p>
          <w:p w14:paraId="6F865D97" w14:textId="77777777" w:rsidR="003333E5" w:rsidRPr="00521E86" w:rsidRDefault="003333E5" w:rsidP="002D4939">
            <w:pPr>
              <w:pStyle w:val="Listenabsatz"/>
              <w:numPr>
                <w:ilvl w:val="0"/>
                <w:numId w:val="2"/>
              </w:numPr>
              <w:ind w:left="470" w:hanging="357"/>
              <w:rPr>
                <w:rFonts w:ascii="Arial" w:hAnsi="Arial" w:cs="Arial"/>
              </w:rPr>
            </w:pPr>
            <w:r>
              <w:rPr>
                <w:rFonts w:ascii="Arial" w:hAnsi="Arial" w:cs="Arial"/>
                <w:bCs/>
              </w:rPr>
              <w:t>entsprechend der vereinbarten Leistungen in Wohnraumüberlassung</w:t>
            </w:r>
          </w:p>
          <w:p w14:paraId="70B31332" w14:textId="09C89846" w:rsidR="00521E86" w:rsidRDefault="00521E86" w:rsidP="002D4939">
            <w:pPr>
              <w:pStyle w:val="Listenabsatz"/>
              <w:numPr>
                <w:ilvl w:val="0"/>
                <w:numId w:val="2"/>
              </w:numPr>
              <w:ind w:left="470" w:hanging="357"/>
              <w:rPr>
                <w:rFonts w:ascii="Arial" w:hAnsi="Arial" w:cs="Arial"/>
              </w:rPr>
            </w:pPr>
          </w:p>
        </w:tc>
        <w:tc>
          <w:tcPr>
            <w:tcW w:w="560" w:type="pct"/>
          </w:tcPr>
          <w:p w14:paraId="20F4594E" w14:textId="257B2C06" w:rsidR="003333E5" w:rsidRDefault="003333E5" w:rsidP="002D4939">
            <w:pPr>
              <w:jc w:val="center"/>
              <w:rPr>
                <w:rFonts w:ascii="Arial" w:hAnsi="Arial" w:cs="Arial"/>
              </w:rPr>
            </w:pPr>
            <w:r>
              <w:rPr>
                <w:rFonts w:ascii="Arial" w:hAnsi="Arial" w:cs="Arial"/>
              </w:rPr>
              <w:t>X1</w:t>
            </w:r>
          </w:p>
        </w:tc>
      </w:tr>
      <w:tr w:rsidR="00F10238" w14:paraId="137BF884" w14:textId="77777777" w:rsidTr="005D713B">
        <w:tc>
          <w:tcPr>
            <w:tcW w:w="4422" w:type="pct"/>
            <w:gridSpan w:val="4"/>
            <w:vAlign w:val="center"/>
          </w:tcPr>
          <w:p w14:paraId="6E0E704C" w14:textId="77777777" w:rsidR="00D35EC9" w:rsidRDefault="00D35EC9" w:rsidP="002D4939">
            <w:pPr>
              <w:jc w:val="right"/>
              <w:rPr>
                <w:rFonts w:ascii="Arial" w:hAnsi="Arial" w:cs="Arial"/>
              </w:rPr>
            </w:pPr>
            <w:r w:rsidRPr="00FD33D6">
              <w:rPr>
                <w:rFonts w:ascii="Arial" w:hAnsi="Arial" w:cs="Arial"/>
                <w:b/>
                <w:bCs/>
              </w:rPr>
              <w:t>SUMME</w:t>
            </w:r>
          </w:p>
        </w:tc>
        <w:tc>
          <w:tcPr>
            <w:tcW w:w="578" w:type="pct"/>
            <w:gridSpan w:val="2"/>
          </w:tcPr>
          <w:p w14:paraId="3AF6FCE2" w14:textId="77777777" w:rsidR="00D35EC9" w:rsidRDefault="00D35EC9" w:rsidP="002D4939">
            <w:pPr>
              <w:jc w:val="center"/>
              <w:rPr>
                <w:rFonts w:ascii="Arial" w:hAnsi="Arial" w:cs="Arial"/>
              </w:rPr>
            </w:pPr>
            <w:r>
              <w:rPr>
                <w:rFonts w:ascii="Arial" w:hAnsi="Arial" w:cs="Arial"/>
              </w:rPr>
              <w:fldChar w:fldCharType="begin"/>
            </w:r>
            <w:r>
              <w:rPr>
                <w:rFonts w:ascii="Arial" w:hAnsi="Arial" w:cs="Arial"/>
              </w:rPr>
              <w:instrText xml:space="preserve"> =SUM(ABOVE) </w:instrText>
            </w:r>
            <w:r>
              <w:rPr>
                <w:rFonts w:ascii="Arial" w:hAnsi="Arial" w:cs="Arial"/>
              </w:rPr>
              <w:fldChar w:fldCharType="separate"/>
            </w:r>
            <w:r>
              <w:rPr>
                <w:rFonts w:ascii="Arial" w:hAnsi="Arial" w:cs="Arial"/>
                <w:noProof/>
              </w:rPr>
              <w:t>0</w:t>
            </w:r>
            <w:r>
              <w:rPr>
                <w:rFonts w:ascii="Arial" w:hAnsi="Arial" w:cs="Arial"/>
              </w:rPr>
              <w:fldChar w:fldCharType="end"/>
            </w:r>
          </w:p>
        </w:tc>
      </w:tr>
    </w:tbl>
    <w:p w14:paraId="15F9AA82" w14:textId="77777777" w:rsidR="00B46F22" w:rsidRPr="00B46F22" w:rsidRDefault="00B46F22" w:rsidP="00B46F22">
      <w:pPr>
        <w:spacing w:after="0"/>
        <w:rPr>
          <w:rFonts w:ascii="Arial" w:hAnsi="Arial" w:cs="Arial"/>
        </w:rPr>
      </w:pPr>
    </w:p>
    <w:p w14:paraId="502C9B42" w14:textId="77777777" w:rsidR="00C65B31" w:rsidRPr="007D6F4D" w:rsidRDefault="00C65B31" w:rsidP="00C65B31">
      <w:pPr>
        <w:spacing w:after="0"/>
        <w:rPr>
          <w:rFonts w:ascii="Arial" w:hAnsi="Arial" w:cs="Arial"/>
        </w:rPr>
      </w:pPr>
    </w:p>
    <w:sectPr w:rsidR="00C65B31" w:rsidRPr="007D6F4D" w:rsidSect="00B46F22">
      <w:pgSz w:w="16838" w:h="11906"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E9E4" w14:textId="77777777" w:rsidR="006A5523" w:rsidRDefault="006A5523" w:rsidP="0064057C">
      <w:pPr>
        <w:spacing w:after="0" w:line="240" w:lineRule="auto"/>
      </w:pPr>
      <w:r>
        <w:separator/>
      </w:r>
    </w:p>
  </w:endnote>
  <w:endnote w:type="continuationSeparator" w:id="0">
    <w:p w14:paraId="2FDF9054" w14:textId="77777777" w:rsidR="006A5523" w:rsidRDefault="006A5523" w:rsidP="0064057C">
      <w:pPr>
        <w:spacing w:after="0" w:line="240" w:lineRule="auto"/>
      </w:pPr>
      <w:r>
        <w:continuationSeparator/>
      </w:r>
    </w:p>
  </w:endnote>
  <w:endnote w:type="continuationNotice" w:id="1">
    <w:p w14:paraId="4B9CCE14" w14:textId="77777777" w:rsidR="006A5523" w:rsidRDefault="006A5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819C" w14:textId="77777777" w:rsidR="006A5523" w:rsidRDefault="006A5523" w:rsidP="0064057C">
      <w:pPr>
        <w:spacing w:after="0" w:line="240" w:lineRule="auto"/>
      </w:pPr>
      <w:r>
        <w:separator/>
      </w:r>
    </w:p>
  </w:footnote>
  <w:footnote w:type="continuationSeparator" w:id="0">
    <w:p w14:paraId="7609BCBF" w14:textId="77777777" w:rsidR="006A5523" w:rsidRDefault="006A5523" w:rsidP="0064057C">
      <w:pPr>
        <w:spacing w:after="0" w:line="240" w:lineRule="auto"/>
      </w:pPr>
      <w:r>
        <w:continuationSeparator/>
      </w:r>
    </w:p>
  </w:footnote>
  <w:footnote w:type="continuationNotice" w:id="1">
    <w:p w14:paraId="45C8EE92" w14:textId="77777777" w:rsidR="006A5523" w:rsidRDefault="006A5523">
      <w:pPr>
        <w:spacing w:after="0" w:line="240" w:lineRule="auto"/>
      </w:pPr>
    </w:p>
  </w:footnote>
  <w:footnote w:id="2">
    <w:p w14:paraId="3C0B4AFC" w14:textId="54C741E7" w:rsidR="00D9493A" w:rsidRPr="003113E0" w:rsidRDefault="00D9493A">
      <w:pPr>
        <w:pStyle w:val="Funotentext"/>
        <w:rPr>
          <w:rFonts w:ascii="Arial" w:hAnsi="Arial" w:cs="Arial"/>
          <w:sz w:val="18"/>
          <w:szCs w:val="18"/>
        </w:rPr>
      </w:pPr>
      <w:r w:rsidRPr="003113E0">
        <w:rPr>
          <w:rStyle w:val="Funotenzeichen"/>
          <w:rFonts w:ascii="Arial" w:hAnsi="Arial" w:cs="Arial"/>
          <w:sz w:val="18"/>
          <w:szCs w:val="18"/>
        </w:rPr>
        <w:footnoteRef/>
      </w:r>
      <w:r w:rsidRPr="003113E0">
        <w:rPr>
          <w:rFonts w:ascii="Arial" w:hAnsi="Arial" w:cs="Arial"/>
          <w:sz w:val="18"/>
          <w:szCs w:val="18"/>
        </w:rPr>
        <w:t xml:space="preserve"> vgl. hierzu R</w:t>
      </w:r>
      <w:r w:rsidR="00E139C0" w:rsidRPr="003113E0">
        <w:rPr>
          <w:rFonts w:ascii="Arial" w:hAnsi="Arial" w:cs="Arial"/>
          <w:sz w:val="18"/>
          <w:szCs w:val="18"/>
        </w:rPr>
        <w:t>L</w:t>
      </w:r>
      <w:r w:rsidRPr="003113E0">
        <w:rPr>
          <w:rFonts w:ascii="Arial" w:hAnsi="Arial" w:cs="Arial"/>
          <w:sz w:val="18"/>
          <w:szCs w:val="18"/>
        </w:rPr>
        <w:t xml:space="preserve"> des GKV-Spitzenverbandes nach § 71 Abs.5 S.1 SGB XI, 2. Geltungsbereich und Wirkung, S</w:t>
      </w:r>
      <w:r w:rsidR="00A300F8" w:rsidRPr="003113E0">
        <w:rPr>
          <w:rFonts w:ascii="Arial" w:hAnsi="Arial" w:cs="Arial"/>
          <w:sz w:val="18"/>
          <w:szCs w:val="18"/>
        </w:rPr>
        <w:t>.</w:t>
      </w:r>
      <w:r w:rsidRPr="003113E0">
        <w:rPr>
          <w:rFonts w:ascii="Arial" w:hAnsi="Arial" w:cs="Arial"/>
          <w:sz w:val="18"/>
          <w:szCs w:val="18"/>
        </w:rPr>
        <w:t xml:space="preserv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A2F"/>
    <w:multiLevelType w:val="hybridMultilevel"/>
    <w:tmpl w:val="6A2ECA58"/>
    <w:lvl w:ilvl="0" w:tplc="4726C844">
      <w:start w:val="1"/>
      <w:numFmt w:val="bullet"/>
      <w:lvlText w:val="–"/>
      <w:lvlJc w:val="left"/>
      <w:pPr>
        <w:tabs>
          <w:tab w:val="num" w:pos="720"/>
        </w:tabs>
        <w:ind w:left="720" w:hanging="360"/>
      </w:pPr>
      <w:rPr>
        <w:rFonts w:ascii="Times New Roman" w:hAnsi="Times New Roman" w:hint="default"/>
      </w:rPr>
    </w:lvl>
    <w:lvl w:ilvl="1" w:tplc="4F70E49E">
      <w:start w:val="1"/>
      <w:numFmt w:val="bullet"/>
      <w:lvlText w:val="–"/>
      <w:lvlJc w:val="left"/>
      <w:pPr>
        <w:tabs>
          <w:tab w:val="num" w:pos="1440"/>
        </w:tabs>
        <w:ind w:left="1440" w:hanging="360"/>
      </w:pPr>
      <w:rPr>
        <w:rFonts w:ascii="Times New Roman" w:hAnsi="Times New Roman" w:hint="default"/>
      </w:rPr>
    </w:lvl>
    <w:lvl w:ilvl="2" w:tplc="425E5C60">
      <w:start w:val="1"/>
      <w:numFmt w:val="bullet"/>
      <w:lvlText w:val="–"/>
      <w:lvlJc w:val="left"/>
      <w:pPr>
        <w:tabs>
          <w:tab w:val="num" w:pos="2160"/>
        </w:tabs>
        <w:ind w:left="2160" w:hanging="360"/>
      </w:pPr>
      <w:rPr>
        <w:rFonts w:ascii="Times New Roman" w:hAnsi="Times New Roman" w:hint="default"/>
      </w:rPr>
    </w:lvl>
    <w:lvl w:ilvl="3" w:tplc="423EC4B8" w:tentative="1">
      <w:start w:val="1"/>
      <w:numFmt w:val="bullet"/>
      <w:lvlText w:val="–"/>
      <w:lvlJc w:val="left"/>
      <w:pPr>
        <w:tabs>
          <w:tab w:val="num" w:pos="2880"/>
        </w:tabs>
        <w:ind w:left="2880" w:hanging="360"/>
      </w:pPr>
      <w:rPr>
        <w:rFonts w:ascii="Times New Roman" w:hAnsi="Times New Roman" w:hint="default"/>
      </w:rPr>
    </w:lvl>
    <w:lvl w:ilvl="4" w:tplc="4EB4CD24" w:tentative="1">
      <w:start w:val="1"/>
      <w:numFmt w:val="bullet"/>
      <w:lvlText w:val="–"/>
      <w:lvlJc w:val="left"/>
      <w:pPr>
        <w:tabs>
          <w:tab w:val="num" w:pos="3600"/>
        </w:tabs>
        <w:ind w:left="3600" w:hanging="360"/>
      </w:pPr>
      <w:rPr>
        <w:rFonts w:ascii="Times New Roman" w:hAnsi="Times New Roman" w:hint="default"/>
      </w:rPr>
    </w:lvl>
    <w:lvl w:ilvl="5" w:tplc="8DC6699E" w:tentative="1">
      <w:start w:val="1"/>
      <w:numFmt w:val="bullet"/>
      <w:lvlText w:val="–"/>
      <w:lvlJc w:val="left"/>
      <w:pPr>
        <w:tabs>
          <w:tab w:val="num" w:pos="4320"/>
        </w:tabs>
        <w:ind w:left="4320" w:hanging="360"/>
      </w:pPr>
      <w:rPr>
        <w:rFonts w:ascii="Times New Roman" w:hAnsi="Times New Roman" w:hint="default"/>
      </w:rPr>
    </w:lvl>
    <w:lvl w:ilvl="6" w:tplc="6E726A60" w:tentative="1">
      <w:start w:val="1"/>
      <w:numFmt w:val="bullet"/>
      <w:lvlText w:val="–"/>
      <w:lvlJc w:val="left"/>
      <w:pPr>
        <w:tabs>
          <w:tab w:val="num" w:pos="5040"/>
        </w:tabs>
        <w:ind w:left="5040" w:hanging="360"/>
      </w:pPr>
      <w:rPr>
        <w:rFonts w:ascii="Times New Roman" w:hAnsi="Times New Roman" w:hint="default"/>
      </w:rPr>
    </w:lvl>
    <w:lvl w:ilvl="7" w:tplc="58CAC17C" w:tentative="1">
      <w:start w:val="1"/>
      <w:numFmt w:val="bullet"/>
      <w:lvlText w:val="–"/>
      <w:lvlJc w:val="left"/>
      <w:pPr>
        <w:tabs>
          <w:tab w:val="num" w:pos="5760"/>
        </w:tabs>
        <w:ind w:left="5760" w:hanging="360"/>
      </w:pPr>
      <w:rPr>
        <w:rFonts w:ascii="Times New Roman" w:hAnsi="Times New Roman" w:hint="default"/>
      </w:rPr>
    </w:lvl>
    <w:lvl w:ilvl="8" w:tplc="41000EB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DE4CF4"/>
    <w:multiLevelType w:val="hybridMultilevel"/>
    <w:tmpl w:val="8D78B2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490FC5"/>
    <w:multiLevelType w:val="hybridMultilevel"/>
    <w:tmpl w:val="63B48A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3D845DE"/>
    <w:multiLevelType w:val="hybridMultilevel"/>
    <w:tmpl w:val="1504AB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8319F4"/>
    <w:multiLevelType w:val="hybridMultilevel"/>
    <w:tmpl w:val="B610FF7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4D0050"/>
    <w:multiLevelType w:val="hybridMultilevel"/>
    <w:tmpl w:val="B44A0388"/>
    <w:lvl w:ilvl="0" w:tplc="21029A74">
      <w:numFmt w:val="bullet"/>
      <w:lvlText w:val="-"/>
      <w:lvlJc w:val="left"/>
      <w:pPr>
        <w:ind w:left="360" w:hanging="360"/>
      </w:pPr>
      <w:rPr>
        <w:rFonts w:ascii="Calibri" w:eastAsiaTheme="minorHAnsi" w:hAnsi="Calibri" w:cs="Calibri" w:hint="default"/>
        <w:b/>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1C435C8"/>
    <w:multiLevelType w:val="hybridMultilevel"/>
    <w:tmpl w:val="FB382168"/>
    <w:lvl w:ilvl="0" w:tplc="25F47AFE">
      <w:start w:val="1"/>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701E86"/>
    <w:multiLevelType w:val="hybridMultilevel"/>
    <w:tmpl w:val="3FEE18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C6E09A1"/>
    <w:multiLevelType w:val="hybridMultilevel"/>
    <w:tmpl w:val="E36AFA72"/>
    <w:lvl w:ilvl="0" w:tplc="04070001">
      <w:start w:val="1"/>
      <w:numFmt w:val="bullet"/>
      <w:lvlText w:val=""/>
      <w:lvlJc w:val="left"/>
      <w:pPr>
        <w:ind w:left="92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C8B50F6"/>
    <w:multiLevelType w:val="hybridMultilevel"/>
    <w:tmpl w:val="88BC3A42"/>
    <w:lvl w:ilvl="0" w:tplc="3EFA8088">
      <w:start w:val="1"/>
      <w:numFmt w:val="decimal"/>
      <w:lvlText w:val="%1."/>
      <w:lvlJc w:val="left"/>
      <w:pPr>
        <w:tabs>
          <w:tab w:val="num" w:pos="720"/>
        </w:tabs>
        <w:ind w:left="720" w:hanging="360"/>
      </w:pPr>
    </w:lvl>
    <w:lvl w:ilvl="1" w:tplc="858859B0">
      <w:start w:val="1"/>
      <w:numFmt w:val="decimal"/>
      <w:lvlText w:val="%2."/>
      <w:lvlJc w:val="left"/>
      <w:pPr>
        <w:tabs>
          <w:tab w:val="num" w:pos="1440"/>
        </w:tabs>
        <w:ind w:left="1440" w:hanging="360"/>
      </w:pPr>
    </w:lvl>
    <w:lvl w:ilvl="2" w:tplc="07CA3446" w:tentative="1">
      <w:start w:val="1"/>
      <w:numFmt w:val="decimal"/>
      <w:lvlText w:val="%3."/>
      <w:lvlJc w:val="left"/>
      <w:pPr>
        <w:tabs>
          <w:tab w:val="num" w:pos="2160"/>
        </w:tabs>
        <w:ind w:left="2160" w:hanging="360"/>
      </w:pPr>
    </w:lvl>
    <w:lvl w:ilvl="3" w:tplc="F148F970" w:tentative="1">
      <w:start w:val="1"/>
      <w:numFmt w:val="decimal"/>
      <w:lvlText w:val="%4."/>
      <w:lvlJc w:val="left"/>
      <w:pPr>
        <w:tabs>
          <w:tab w:val="num" w:pos="2880"/>
        </w:tabs>
        <w:ind w:left="2880" w:hanging="360"/>
      </w:pPr>
    </w:lvl>
    <w:lvl w:ilvl="4" w:tplc="0900C9B4" w:tentative="1">
      <w:start w:val="1"/>
      <w:numFmt w:val="decimal"/>
      <w:lvlText w:val="%5."/>
      <w:lvlJc w:val="left"/>
      <w:pPr>
        <w:tabs>
          <w:tab w:val="num" w:pos="3600"/>
        </w:tabs>
        <w:ind w:left="3600" w:hanging="360"/>
      </w:pPr>
    </w:lvl>
    <w:lvl w:ilvl="5" w:tplc="AC326484" w:tentative="1">
      <w:start w:val="1"/>
      <w:numFmt w:val="decimal"/>
      <w:lvlText w:val="%6."/>
      <w:lvlJc w:val="left"/>
      <w:pPr>
        <w:tabs>
          <w:tab w:val="num" w:pos="4320"/>
        </w:tabs>
        <w:ind w:left="4320" w:hanging="360"/>
      </w:pPr>
    </w:lvl>
    <w:lvl w:ilvl="6" w:tplc="BA8C3A4A" w:tentative="1">
      <w:start w:val="1"/>
      <w:numFmt w:val="decimal"/>
      <w:lvlText w:val="%7."/>
      <w:lvlJc w:val="left"/>
      <w:pPr>
        <w:tabs>
          <w:tab w:val="num" w:pos="5040"/>
        </w:tabs>
        <w:ind w:left="5040" w:hanging="360"/>
      </w:pPr>
    </w:lvl>
    <w:lvl w:ilvl="7" w:tplc="B49A146A" w:tentative="1">
      <w:start w:val="1"/>
      <w:numFmt w:val="decimal"/>
      <w:lvlText w:val="%8."/>
      <w:lvlJc w:val="left"/>
      <w:pPr>
        <w:tabs>
          <w:tab w:val="num" w:pos="5760"/>
        </w:tabs>
        <w:ind w:left="5760" w:hanging="360"/>
      </w:pPr>
    </w:lvl>
    <w:lvl w:ilvl="8" w:tplc="6FF8E9B6" w:tentative="1">
      <w:start w:val="1"/>
      <w:numFmt w:val="decimal"/>
      <w:lvlText w:val="%9."/>
      <w:lvlJc w:val="left"/>
      <w:pPr>
        <w:tabs>
          <w:tab w:val="num" w:pos="6480"/>
        </w:tabs>
        <w:ind w:left="6480" w:hanging="360"/>
      </w:pPr>
    </w:lvl>
  </w:abstractNum>
  <w:abstractNum w:abstractNumId="10" w15:restartNumberingAfterBreak="0">
    <w:nsid w:val="752C73A0"/>
    <w:multiLevelType w:val="hybridMultilevel"/>
    <w:tmpl w:val="469AEA52"/>
    <w:lvl w:ilvl="0" w:tplc="0407000F">
      <w:start w:val="1"/>
      <w:numFmt w:val="decimal"/>
      <w:lvlText w:val="%1."/>
      <w:lvlJc w:val="left"/>
      <w:pPr>
        <w:ind w:left="720" w:hanging="360"/>
      </w:p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753D7FC8"/>
    <w:multiLevelType w:val="hybridMultilevel"/>
    <w:tmpl w:val="4A9EF4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6439725">
    <w:abstractNumId w:val="7"/>
  </w:num>
  <w:num w:numId="2" w16cid:durableId="1422019484">
    <w:abstractNumId w:val="8"/>
  </w:num>
  <w:num w:numId="3" w16cid:durableId="938678512">
    <w:abstractNumId w:val="5"/>
  </w:num>
  <w:num w:numId="4" w16cid:durableId="410273211">
    <w:abstractNumId w:val="0"/>
  </w:num>
  <w:num w:numId="5" w16cid:durableId="1744911042">
    <w:abstractNumId w:val="9"/>
  </w:num>
  <w:num w:numId="6" w16cid:durableId="1764567631">
    <w:abstractNumId w:val="11"/>
  </w:num>
  <w:num w:numId="7" w16cid:durableId="1047223362">
    <w:abstractNumId w:val="3"/>
  </w:num>
  <w:num w:numId="8" w16cid:durableId="2047833680">
    <w:abstractNumId w:val="1"/>
  </w:num>
  <w:num w:numId="9" w16cid:durableId="1496068007">
    <w:abstractNumId w:val="6"/>
  </w:num>
  <w:num w:numId="10" w16cid:durableId="1885674364">
    <w:abstractNumId w:val="2"/>
  </w:num>
  <w:num w:numId="11" w16cid:durableId="1038314982">
    <w:abstractNumId w:val="4"/>
  </w:num>
  <w:num w:numId="12" w16cid:durableId="16922972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966385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F22"/>
    <w:rsid w:val="000009DB"/>
    <w:rsid w:val="000018CA"/>
    <w:rsid w:val="000025EC"/>
    <w:rsid w:val="0000433B"/>
    <w:rsid w:val="00006AF8"/>
    <w:rsid w:val="00015AFC"/>
    <w:rsid w:val="000266D4"/>
    <w:rsid w:val="00027AD5"/>
    <w:rsid w:val="000333EA"/>
    <w:rsid w:val="000365B8"/>
    <w:rsid w:val="0003670F"/>
    <w:rsid w:val="00040052"/>
    <w:rsid w:val="00040632"/>
    <w:rsid w:val="000446C7"/>
    <w:rsid w:val="0005203E"/>
    <w:rsid w:val="00053B03"/>
    <w:rsid w:val="00054CD1"/>
    <w:rsid w:val="0005734C"/>
    <w:rsid w:val="00062C4E"/>
    <w:rsid w:val="00070B07"/>
    <w:rsid w:val="00073811"/>
    <w:rsid w:val="00083DA2"/>
    <w:rsid w:val="000848A0"/>
    <w:rsid w:val="00086C96"/>
    <w:rsid w:val="000871FF"/>
    <w:rsid w:val="00087C17"/>
    <w:rsid w:val="00087F77"/>
    <w:rsid w:val="00090680"/>
    <w:rsid w:val="000918FA"/>
    <w:rsid w:val="0009443D"/>
    <w:rsid w:val="00097171"/>
    <w:rsid w:val="000A1FB6"/>
    <w:rsid w:val="000A646D"/>
    <w:rsid w:val="000A6870"/>
    <w:rsid w:val="000A73E9"/>
    <w:rsid w:val="000B1A95"/>
    <w:rsid w:val="000B1C08"/>
    <w:rsid w:val="000B2C7D"/>
    <w:rsid w:val="000B75B7"/>
    <w:rsid w:val="000C0C8E"/>
    <w:rsid w:val="000C365A"/>
    <w:rsid w:val="000D1580"/>
    <w:rsid w:val="000D6B03"/>
    <w:rsid w:val="000E0647"/>
    <w:rsid w:val="000E16AA"/>
    <w:rsid w:val="000E754C"/>
    <w:rsid w:val="000F79A5"/>
    <w:rsid w:val="000F7CEE"/>
    <w:rsid w:val="001020F7"/>
    <w:rsid w:val="00102E78"/>
    <w:rsid w:val="00103913"/>
    <w:rsid w:val="00104415"/>
    <w:rsid w:val="001058F0"/>
    <w:rsid w:val="00106DDD"/>
    <w:rsid w:val="00111114"/>
    <w:rsid w:val="00111E48"/>
    <w:rsid w:val="001136A4"/>
    <w:rsid w:val="00113DFB"/>
    <w:rsid w:val="0011742D"/>
    <w:rsid w:val="00117E53"/>
    <w:rsid w:val="00121212"/>
    <w:rsid w:val="00125B67"/>
    <w:rsid w:val="001277A0"/>
    <w:rsid w:val="001279B2"/>
    <w:rsid w:val="0013017A"/>
    <w:rsid w:val="001333F5"/>
    <w:rsid w:val="001371DA"/>
    <w:rsid w:val="00137D17"/>
    <w:rsid w:val="00154E21"/>
    <w:rsid w:val="00162431"/>
    <w:rsid w:val="001626F3"/>
    <w:rsid w:val="001669C7"/>
    <w:rsid w:val="001A51AD"/>
    <w:rsid w:val="001B16A9"/>
    <w:rsid w:val="001B62EE"/>
    <w:rsid w:val="001C06AA"/>
    <w:rsid w:val="001C12B4"/>
    <w:rsid w:val="001C2A32"/>
    <w:rsid w:val="001C2E9A"/>
    <w:rsid w:val="001D0BB5"/>
    <w:rsid w:val="001E04CC"/>
    <w:rsid w:val="001E080B"/>
    <w:rsid w:val="001E2375"/>
    <w:rsid w:val="001E48AC"/>
    <w:rsid w:val="001F0232"/>
    <w:rsid w:val="001F0B36"/>
    <w:rsid w:val="001F10AB"/>
    <w:rsid w:val="001F22FD"/>
    <w:rsid w:val="001F48A4"/>
    <w:rsid w:val="001F5DAE"/>
    <w:rsid w:val="001F6984"/>
    <w:rsid w:val="001F7197"/>
    <w:rsid w:val="00201EFB"/>
    <w:rsid w:val="00205FD0"/>
    <w:rsid w:val="00212D77"/>
    <w:rsid w:val="00213A4F"/>
    <w:rsid w:val="002167D9"/>
    <w:rsid w:val="00217D1E"/>
    <w:rsid w:val="00221735"/>
    <w:rsid w:val="0023312C"/>
    <w:rsid w:val="002357CF"/>
    <w:rsid w:val="002410A4"/>
    <w:rsid w:val="00244BDA"/>
    <w:rsid w:val="00246FB6"/>
    <w:rsid w:val="00251279"/>
    <w:rsid w:val="002522D8"/>
    <w:rsid w:val="00256EF8"/>
    <w:rsid w:val="00256F8B"/>
    <w:rsid w:val="00264DB3"/>
    <w:rsid w:val="00264E20"/>
    <w:rsid w:val="00265711"/>
    <w:rsid w:val="00274050"/>
    <w:rsid w:val="002818DB"/>
    <w:rsid w:val="002821AE"/>
    <w:rsid w:val="002845D7"/>
    <w:rsid w:val="0028556C"/>
    <w:rsid w:val="0029446A"/>
    <w:rsid w:val="00294D68"/>
    <w:rsid w:val="00295460"/>
    <w:rsid w:val="002977BF"/>
    <w:rsid w:val="002A31B1"/>
    <w:rsid w:val="002B45C6"/>
    <w:rsid w:val="002B5C61"/>
    <w:rsid w:val="002C2D83"/>
    <w:rsid w:val="002D2897"/>
    <w:rsid w:val="002D4939"/>
    <w:rsid w:val="002D5E80"/>
    <w:rsid w:val="002D5FF7"/>
    <w:rsid w:val="002E18C7"/>
    <w:rsid w:val="002E5E33"/>
    <w:rsid w:val="002F1100"/>
    <w:rsid w:val="002F1F1B"/>
    <w:rsid w:val="002F307B"/>
    <w:rsid w:val="002F322F"/>
    <w:rsid w:val="002F58B3"/>
    <w:rsid w:val="00301CB8"/>
    <w:rsid w:val="003041A6"/>
    <w:rsid w:val="003071F3"/>
    <w:rsid w:val="00307928"/>
    <w:rsid w:val="003113E0"/>
    <w:rsid w:val="003132F1"/>
    <w:rsid w:val="00315D97"/>
    <w:rsid w:val="0032100F"/>
    <w:rsid w:val="00324371"/>
    <w:rsid w:val="00331F20"/>
    <w:rsid w:val="00332FC9"/>
    <w:rsid w:val="003333E5"/>
    <w:rsid w:val="0033380F"/>
    <w:rsid w:val="00337037"/>
    <w:rsid w:val="003560E4"/>
    <w:rsid w:val="00362661"/>
    <w:rsid w:val="00362A4C"/>
    <w:rsid w:val="003743F6"/>
    <w:rsid w:val="00381432"/>
    <w:rsid w:val="003853D7"/>
    <w:rsid w:val="00391448"/>
    <w:rsid w:val="0039167E"/>
    <w:rsid w:val="00393567"/>
    <w:rsid w:val="003B3B46"/>
    <w:rsid w:val="003B631A"/>
    <w:rsid w:val="003B6BB2"/>
    <w:rsid w:val="003C74C7"/>
    <w:rsid w:val="003D08F4"/>
    <w:rsid w:val="003D4165"/>
    <w:rsid w:val="003D671D"/>
    <w:rsid w:val="003E072F"/>
    <w:rsid w:val="003E17FF"/>
    <w:rsid w:val="003E4AD6"/>
    <w:rsid w:val="003F2243"/>
    <w:rsid w:val="003F56ED"/>
    <w:rsid w:val="003F57E3"/>
    <w:rsid w:val="003F6D7B"/>
    <w:rsid w:val="00402139"/>
    <w:rsid w:val="00403402"/>
    <w:rsid w:val="004061D9"/>
    <w:rsid w:val="004117A8"/>
    <w:rsid w:val="004120A4"/>
    <w:rsid w:val="00416060"/>
    <w:rsid w:val="00420C6D"/>
    <w:rsid w:val="00422A6E"/>
    <w:rsid w:val="00422BD5"/>
    <w:rsid w:val="00427D53"/>
    <w:rsid w:val="004342B4"/>
    <w:rsid w:val="004349D6"/>
    <w:rsid w:val="00443A52"/>
    <w:rsid w:val="004558B0"/>
    <w:rsid w:val="00463A91"/>
    <w:rsid w:val="004757D1"/>
    <w:rsid w:val="0048425E"/>
    <w:rsid w:val="00487F00"/>
    <w:rsid w:val="0049551B"/>
    <w:rsid w:val="0049557C"/>
    <w:rsid w:val="00495ECF"/>
    <w:rsid w:val="004B6428"/>
    <w:rsid w:val="004B7CCB"/>
    <w:rsid w:val="004C1ED7"/>
    <w:rsid w:val="004C5C57"/>
    <w:rsid w:val="004C7114"/>
    <w:rsid w:val="004D3738"/>
    <w:rsid w:val="004D3BDF"/>
    <w:rsid w:val="004D41C5"/>
    <w:rsid w:val="004D50DB"/>
    <w:rsid w:val="004D60BF"/>
    <w:rsid w:val="004D6BAD"/>
    <w:rsid w:val="004D7266"/>
    <w:rsid w:val="004E41AE"/>
    <w:rsid w:val="004F016B"/>
    <w:rsid w:val="004F2C91"/>
    <w:rsid w:val="004F2D76"/>
    <w:rsid w:val="004F41A8"/>
    <w:rsid w:val="004F66BB"/>
    <w:rsid w:val="00500C6C"/>
    <w:rsid w:val="00503A87"/>
    <w:rsid w:val="0050621E"/>
    <w:rsid w:val="00515EE0"/>
    <w:rsid w:val="00516CDB"/>
    <w:rsid w:val="00521536"/>
    <w:rsid w:val="00521E86"/>
    <w:rsid w:val="00523CD0"/>
    <w:rsid w:val="00524451"/>
    <w:rsid w:val="0052622C"/>
    <w:rsid w:val="00531B87"/>
    <w:rsid w:val="00534638"/>
    <w:rsid w:val="005364CC"/>
    <w:rsid w:val="00541941"/>
    <w:rsid w:val="005477F8"/>
    <w:rsid w:val="00560986"/>
    <w:rsid w:val="00560F64"/>
    <w:rsid w:val="005629D2"/>
    <w:rsid w:val="00573D70"/>
    <w:rsid w:val="005813B9"/>
    <w:rsid w:val="00584FF1"/>
    <w:rsid w:val="00587CF8"/>
    <w:rsid w:val="00596A25"/>
    <w:rsid w:val="005A4C9A"/>
    <w:rsid w:val="005A55D6"/>
    <w:rsid w:val="005A5924"/>
    <w:rsid w:val="005A7666"/>
    <w:rsid w:val="005B0DFE"/>
    <w:rsid w:val="005B3912"/>
    <w:rsid w:val="005B4B71"/>
    <w:rsid w:val="005C0E6B"/>
    <w:rsid w:val="005C17BD"/>
    <w:rsid w:val="005C2BDF"/>
    <w:rsid w:val="005C48A2"/>
    <w:rsid w:val="005C505C"/>
    <w:rsid w:val="005C6D8B"/>
    <w:rsid w:val="005D4B37"/>
    <w:rsid w:val="005D5927"/>
    <w:rsid w:val="005D713B"/>
    <w:rsid w:val="005E1204"/>
    <w:rsid w:val="005E1CB1"/>
    <w:rsid w:val="005E291F"/>
    <w:rsid w:val="005E50A6"/>
    <w:rsid w:val="005F0369"/>
    <w:rsid w:val="005F0BAF"/>
    <w:rsid w:val="00603432"/>
    <w:rsid w:val="00614E3D"/>
    <w:rsid w:val="0062105B"/>
    <w:rsid w:val="00623064"/>
    <w:rsid w:val="006242C7"/>
    <w:rsid w:val="00626EC6"/>
    <w:rsid w:val="00627FDD"/>
    <w:rsid w:val="006319E7"/>
    <w:rsid w:val="0063516C"/>
    <w:rsid w:val="0063659A"/>
    <w:rsid w:val="0064057C"/>
    <w:rsid w:val="00644E72"/>
    <w:rsid w:val="0064573D"/>
    <w:rsid w:val="00653ED9"/>
    <w:rsid w:val="00663E87"/>
    <w:rsid w:val="00672BA7"/>
    <w:rsid w:val="00674EA8"/>
    <w:rsid w:val="006817E2"/>
    <w:rsid w:val="006859C2"/>
    <w:rsid w:val="0068687C"/>
    <w:rsid w:val="0069025F"/>
    <w:rsid w:val="00695744"/>
    <w:rsid w:val="00697F9E"/>
    <w:rsid w:val="006A5523"/>
    <w:rsid w:val="006B3683"/>
    <w:rsid w:val="006B379E"/>
    <w:rsid w:val="006B40B4"/>
    <w:rsid w:val="006C18F3"/>
    <w:rsid w:val="006C6DBF"/>
    <w:rsid w:val="006F0527"/>
    <w:rsid w:val="006F11C1"/>
    <w:rsid w:val="006F30BB"/>
    <w:rsid w:val="006F6B13"/>
    <w:rsid w:val="00703CAC"/>
    <w:rsid w:val="007056CC"/>
    <w:rsid w:val="00712072"/>
    <w:rsid w:val="00712B80"/>
    <w:rsid w:val="0071666F"/>
    <w:rsid w:val="00717AB0"/>
    <w:rsid w:val="007237D7"/>
    <w:rsid w:val="00724B2F"/>
    <w:rsid w:val="00740482"/>
    <w:rsid w:val="007409DF"/>
    <w:rsid w:val="007430F6"/>
    <w:rsid w:val="00745A4D"/>
    <w:rsid w:val="00751C7D"/>
    <w:rsid w:val="00754278"/>
    <w:rsid w:val="007604C0"/>
    <w:rsid w:val="00763395"/>
    <w:rsid w:val="00763CCF"/>
    <w:rsid w:val="00764B8A"/>
    <w:rsid w:val="0076584A"/>
    <w:rsid w:val="007707C0"/>
    <w:rsid w:val="007870A1"/>
    <w:rsid w:val="00794663"/>
    <w:rsid w:val="00794B59"/>
    <w:rsid w:val="00795129"/>
    <w:rsid w:val="007A08BA"/>
    <w:rsid w:val="007A61C0"/>
    <w:rsid w:val="007A6C23"/>
    <w:rsid w:val="007A7D42"/>
    <w:rsid w:val="007B1C5C"/>
    <w:rsid w:val="007B46C3"/>
    <w:rsid w:val="007B5854"/>
    <w:rsid w:val="007C0BC3"/>
    <w:rsid w:val="007C6800"/>
    <w:rsid w:val="007C7684"/>
    <w:rsid w:val="007C7EA2"/>
    <w:rsid w:val="007D6F4D"/>
    <w:rsid w:val="007E2CB2"/>
    <w:rsid w:val="007E451B"/>
    <w:rsid w:val="007E45EE"/>
    <w:rsid w:val="007E4BC3"/>
    <w:rsid w:val="007F11BA"/>
    <w:rsid w:val="007F17EA"/>
    <w:rsid w:val="0080627D"/>
    <w:rsid w:val="008063DB"/>
    <w:rsid w:val="0081240C"/>
    <w:rsid w:val="008142BF"/>
    <w:rsid w:val="008144C4"/>
    <w:rsid w:val="00820901"/>
    <w:rsid w:val="00820DF2"/>
    <w:rsid w:val="00821B73"/>
    <w:rsid w:val="008227AA"/>
    <w:rsid w:val="00826508"/>
    <w:rsid w:val="00826D9C"/>
    <w:rsid w:val="00830A60"/>
    <w:rsid w:val="00833DA4"/>
    <w:rsid w:val="00834366"/>
    <w:rsid w:val="00836100"/>
    <w:rsid w:val="00836280"/>
    <w:rsid w:val="008372A1"/>
    <w:rsid w:val="0084171A"/>
    <w:rsid w:val="008430D1"/>
    <w:rsid w:val="00844D05"/>
    <w:rsid w:val="00844E1D"/>
    <w:rsid w:val="0085108A"/>
    <w:rsid w:val="0085251A"/>
    <w:rsid w:val="008528F7"/>
    <w:rsid w:val="00857EB9"/>
    <w:rsid w:val="008604F3"/>
    <w:rsid w:val="00860E7A"/>
    <w:rsid w:val="00866631"/>
    <w:rsid w:val="00871348"/>
    <w:rsid w:val="00874F60"/>
    <w:rsid w:val="008815FC"/>
    <w:rsid w:val="0088413E"/>
    <w:rsid w:val="00885E6D"/>
    <w:rsid w:val="008905BB"/>
    <w:rsid w:val="00890DA3"/>
    <w:rsid w:val="0089106B"/>
    <w:rsid w:val="008A20CB"/>
    <w:rsid w:val="008A4456"/>
    <w:rsid w:val="008C211D"/>
    <w:rsid w:val="008C3223"/>
    <w:rsid w:val="008D0537"/>
    <w:rsid w:val="008D2A0F"/>
    <w:rsid w:val="008D70DB"/>
    <w:rsid w:val="008E1123"/>
    <w:rsid w:val="008E127C"/>
    <w:rsid w:val="008E4EA1"/>
    <w:rsid w:val="008F2514"/>
    <w:rsid w:val="008F34EB"/>
    <w:rsid w:val="008F3EAF"/>
    <w:rsid w:val="0091033E"/>
    <w:rsid w:val="009103E3"/>
    <w:rsid w:val="00912F71"/>
    <w:rsid w:val="0092577C"/>
    <w:rsid w:val="009273DE"/>
    <w:rsid w:val="0093098A"/>
    <w:rsid w:val="00932AD9"/>
    <w:rsid w:val="00934A1A"/>
    <w:rsid w:val="00935BE5"/>
    <w:rsid w:val="00937424"/>
    <w:rsid w:val="00944A38"/>
    <w:rsid w:val="00951216"/>
    <w:rsid w:val="00957DB0"/>
    <w:rsid w:val="00963C3D"/>
    <w:rsid w:val="009643CF"/>
    <w:rsid w:val="00974796"/>
    <w:rsid w:val="00975E0B"/>
    <w:rsid w:val="009834CC"/>
    <w:rsid w:val="009874C3"/>
    <w:rsid w:val="00992DBD"/>
    <w:rsid w:val="0099305D"/>
    <w:rsid w:val="009933FD"/>
    <w:rsid w:val="00994D3D"/>
    <w:rsid w:val="0099567E"/>
    <w:rsid w:val="00995D13"/>
    <w:rsid w:val="009A7DFA"/>
    <w:rsid w:val="009B277E"/>
    <w:rsid w:val="009B4CD9"/>
    <w:rsid w:val="009B5675"/>
    <w:rsid w:val="009B5D2E"/>
    <w:rsid w:val="009C0DD6"/>
    <w:rsid w:val="009C700C"/>
    <w:rsid w:val="009D0171"/>
    <w:rsid w:val="009D1655"/>
    <w:rsid w:val="009D3973"/>
    <w:rsid w:val="009E02B4"/>
    <w:rsid w:val="009E33E1"/>
    <w:rsid w:val="009F1F88"/>
    <w:rsid w:val="009F2E17"/>
    <w:rsid w:val="00A0179A"/>
    <w:rsid w:val="00A04C59"/>
    <w:rsid w:val="00A05BF8"/>
    <w:rsid w:val="00A20BDF"/>
    <w:rsid w:val="00A22A45"/>
    <w:rsid w:val="00A300F8"/>
    <w:rsid w:val="00A311A8"/>
    <w:rsid w:val="00A31B70"/>
    <w:rsid w:val="00A32ADF"/>
    <w:rsid w:val="00A4210F"/>
    <w:rsid w:val="00A42A72"/>
    <w:rsid w:val="00A463A0"/>
    <w:rsid w:val="00A46896"/>
    <w:rsid w:val="00A46BEE"/>
    <w:rsid w:val="00A53008"/>
    <w:rsid w:val="00A563BC"/>
    <w:rsid w:val="00A6408D"/>
    <w:rsid w:val="00A64FC6"/>
    <w:rsid w:val="00A65AD2"/>
    <w:rsid w:val="00A65DDC"/>
    <w:rsid w:val="00A74262"/>
    <w:rsid w:val="00A764A4"/>
    <w:rsid w:val="00A80D2E"/>
    <w:rsid w:val="00A82120"/>
    <w:rsid w:val="00A856D5"/>
    <w:rsid w:val="00A8615C"/>
    <w:rsid w:val="00A9156D"/>
    <w:rsid w:val="00A9352D"/>
    <w:rsid w:val="00A961C6"/>
    <w:rsid w:val="00AA4774"/>
    <w:rsid w:val="00AA7F17"/>
    <w:rsid w:val="00AB6D43"/>
    <w:rsid w:val="00AC0FA8"/>
    <w:rsid w:val="00AC1ECF"/>
    <w:rsid w:val="00AC61DF"/>
    <w:rsid w:val="00AD607F"/>
    <w:rsid w:val="00AE058D"/>
    <w:rsid w:val="00AE2611"/>
    <w:rsid w:val="00AE51AE"/>
    <w:rsid w:val="00AE5307"/>
    <w:rsid w:val="00B00106"/>
    <w:rsid w:val="00B02874"/>
    <w:rsid w:val="00B04D44"/>
    <w:rsid w:val="00B052EC"/>
    <w:rsid w:val="00B07B32"/>
    <w:rsid w:val="00B07D4B"/>
    <w:rsid w:val="00B12366"/>
    <w:rsid w:val="00B14495"/>
    <w:rsid w:val="00B212B6"/>
    <w:rsid w:val="00B250E5"/>
    <w:rsid w:val="00B26F9C"/>
    <w:rsid w:val="00B31800"/>
    <w:rsid w:val="00B31E14"/>
    <w:rsid w:val="00B368BC"/>
    <w:rsid w:val="00B37B98"/>
    <w:rsid w:val="00B451D1"/>
    <w:rsid w:val="00B451EB"/>
    <w:rsid w:val="00B46F22"/>
    <w:rsid w:val="00B5331A"/>
    <w:rsid w:val="00B534B6"/>
    <w:rsid w:val="00B53809"/>
    <w:rsid w:val="00B62F36"/>
    <w:rsid w:val="00B71B41"/>
    <w:rsid w:val="00B80C2A"/>
    <w:rsid w:val="00B82CA1"/>
    <w:rsid w:val="00B85169"/>
    <w:rsid w:val="00B917A1"/>
    <w:rsid w:val="00B949E4"/>
    <w:rsid w:val="00B95FD2"/>
    <w:rsid w:val="00B96B67"/>
    <w:rsid w:val="00B97F4A"/>
    <w:rsid w:val="00BA1524"/>
    <w:rsid w:val="00BA1B3D"/>
    <w:rsid w:val="00BA4C73"/>
    <w:rsid w:val="00BA569C"/>
    <w:rsid w:val="00BA6FB9"/>
    <w:rsid w:val="00BA77D2"/>
    <w:rsid w:val="00BC1FDC"/>
    <w:rsid w:val="00BC3481"/>
    <w:rsid w:val="00BD07D9"/>
    <w:rsid w:val="00BD0A01"/>
    <w:rsid w:val="00BD1300"/>
    <w:rsid w:val="00BD6618"/>
    <w:rsid w:val="00BE2BB6"/>
    <w:rsid w:val="00BE6BF7"/>
    <w:rsid w:val="00BE7FCF"/>
    <w:rsid w:val="00BF5847"/>
    <w:rsid w:val="00BF5F8D"/>
    <w:rsid w:val="00C00CB9"/>
    <w:rsid w:val="00C04ECF"/>
    <w:rsid w:val="00C1193A"/>
    <w:rsid w:val="00C138B7"/>
    <w:rsid w:val="00C152F5"/>
    <w:rsid w:val="00C20DC2"/>
    <w:rsid w:val="00C21ECE"/>
    <w:rsid w:val="00C35DC7"/>
    <w:rsid w:val="00C37B90"/>
    <w:rsid w:val="00C40044"/>
    <w:rsid w:val="00C407CF"/>
    <w:rsid w:val="00C45C67"/>
    <w:rsid w:val="00C55D39"/>
    <w:rsid w:val="00C57C08"/>
    <w:rsid w:val="00C65B31"/>
    <w:rsid w:val="00C76F1F"/>
    <w:rsid w:val="00C76F52"/>
    <w:rsid w:val="00C82484"/>
    <w:rsid w:val="00C90CCD"/>
    <w:rsid w:val="00C9218B"/>
    <w:rsid w:val="00C97C38"/>
    <w:rsid w:val="00CA07FE"/>
    <w:rsid w:val="00CA735B"/>
    <w:rsid w:val="00CB4659"/>
    <w:rsid w:val="00CB5326"/>
    <w:rsid w:val="00CB76B8"/>
    <w:rsid w:val="00CC081D"/>
    <w:rsid w:val="00CC16F9"/>
    <w:rsid w:val="00CC54A6"/>
    <w:rsid w:val="00CD1AD6"/>
    <w:rsid w:val="00CD3F41"/>
    <w:rsid w:val="00CD5BDA"/>
    <w:rsid w:val="00CE0D50"/>
    <w:rsid w:val="00CE1D59"/>
    <w:rsid w:val="00CE4468"/>
    <w:rsid w:val="00CE57FF"/>
    <w:rsid w:val="00CE7C61"/>
    <w:rsid w:val="00CF2D30"/>
    <w:rsid w:val="00CF3F71"/>
    <w:rsid w:val="00CF4610"/>
    <w:rsid w:val="00D01A86"/>
    <w:rsid w:val="00D02711"/>
    <w:rsid w:val="00D0757F"/>
    <w:rsid w:val="00D137EA"/>
    <w:rsid w:val="00D14381"/>
    <w:rsid w:val="00D229B5"/>
    <w:rsid w:val="00D31D71"/>
    <w:rsid w:val="00D33575"/>
    <w:rsid w:val="00D35EC9"/>
    <w:rsid w:val="00D37F9F"/>
    <w:rsid w:val="00D409E7"/>
    <w:rsid w:val="00D47792"/>
    <w:rsid w:val="00D50299"/>
    <w:rsid w:val="00D50526"/>
    <w:rsid w:val="00D60DCC"/>
    <w:rsid w:val="00D65270"/>
    <w:rsid w:val="00D65313"/>
    <w:rsid w:val="00D774D2"/>
    <w:rsid w:val="00D80406"/>
    <w:rsid w:val="00D876C2"/>
    <w:rsid w:val="00D87EA6"/>
    <w:rsid w:val="00D90BD5"/>
    <w:rsid w:val="00D924AD"/>
    <w:rsid w:val="00D9466C"/>
    <w:rsid w:val="00D9493A"/>
    <w:rsid w:val="00DB24E6"/>
    <w:rsid w:val="00DB5DF1"/>
    <w:rsid w:val="00DD3558"/>
    <w:rsid w:val="00DE32CF"/>
    <w:rsid w:val="00DF1EAF"/>
    <w:rsid w:val="00DF2B8C"/>
    <w:rsid w:val="00E04961"/>
    <w:rsid w:val="00E04972"/>
    <w:rsid w:val="00E04AE1"/>
    <w:rsid w:val="00E06A6D"/>
    <w:rsid w:val="00E06CCC"/>
    <w:rsid w:val="00E06FA3"/>
    <w:rsid w:val="00E139C0"/>
    <w:rsid w:val="00E148FA"/>
    <w:rsid w:val="00E20955"/>
    <w:rsid w:val="00E21B5C"/>
    <w:rsid w:val="00E21DB2"/>
    <w:rsid w:val="00E23DA7"/>
    <w:rsid w:val="00E262E0"/>
    <w:rsid w:val="00E27527"/>
    <w:rsid w:val="00E35399"/>
    <w:rsid w:val="00E36D03"/>
    <w:rsid w:val="00E37946"/>
    <w:rsid w:val="00E40836"/>
    <w:rsid w:val="00E44262"/>
    <w:rsid w:val="00E45F7C"/>
    <w:rsid w:val="00E4738A"/>
    <w:rsid w:val="00E50557"/>
    <w:rsid w:val="00E51E5B"/>
    <w:rsid w:val="00E52CF5"/>
    <w:rsid w:val="00E53B3D"/>
    <w:rsid w:val="00E54A15"/>
    <w:rsid w:val="00E63E15"/>
    <w:rsid w:val="00E676B7"/>
    <w:rsid w:val="00E7286B"/>
    <w:rsid w:val="00E73A02"/>
    <w:rsid w:val="00E76445"/>
    <w:rsid w:val="00E8178A"/>
    <w:rsid w:val="00E83FBF"/>
    <w:rsid w:val="00E8651B"/>
    <w:rsid w:val="00E93AA8"/>
    <w:rsid w:val="00E95483"/>
    <w:rsid w:val="00E9762E"/>
    <w:rsid w:val="00EB7FDE"/>
    <w:rsid w:val="00EC4CCA"/>
    <w:rsid w:val="00EC6557"/>
    <w:rsid w:val="00ED00C7"/>
    <w:rsid w:val="00ED5D28"/>
    <w:rsid w:val="00EE6844"/>
    <w:rsid w:val="00EF05BB"/>
    <w:rsid w:val="00EF7072"/>
    <w:rsid w:val="00F10238"/>
    <w:rsid w:val="00F16672"/>
    <w:rsid w:val="00F20A47"/>
    <w:rsid w:val="00F20DD5"/>
    <w:rsid w:val="00F27425"/>
    <w:rsid w:val="00F30C7A"/>
    <w:rsid w:val="00F36FCB"/>
    <w:rsid w:val="00F53727"/>
    <w:rsid w:val="00F67BCD"/>
    <w:rsid w:val="00F70EB3"/>
    <w:rsid w:val="00F724D9"/>
    <w:rsid w:val="00F73ACA"/>
    <w:rsid w:val="00F85A54"/>
    <w:rsid w:val="00F9194C"/>
    <w:rsid w:val="00F93FDE"/>
    <w:rsid w:val="00FB10DA"/>
    <w:rsid w:val="00FB192D"/>
    <w:rsid w:val="00FB3B05"/>
    <w:rsid w:val="00FC050D"/>
    <w:rsid w:val="00FC4BEC"/>
    <w:rsid w:val="00FC7C15"/>
    <w:rsid w:val="00FD1896"/>
    <w:rsid w:val="00FD28EB"/>
    <w:rsid w:val="00FD33D6"/>
    <w:rsid w:val="00FD3B3C"/>
    <w:rsid w:val="00FD4CFB"/>
    <w:rsid w:val="00FD7B00"/>
    <w:rsid w:val="00FE0F97"/>
    <w:rsid w:val="00FE1D1B"/>
    <w:rsid w:val="00FE5D32"/>
    <w:rsid w:val="00FE6C4E"/>
    <w:rsid w:val="00FF12D9"/>
    <w:rsid w:val="00FF6F0C"/>
    <w:rsid w:val="031AE858"/>
    <w:rsid w:val="05CA84B4"/>
    <w:rsid w:val="08E32477"/>
    <w:rsid w:val="0B8BE419"/>
    <w:rsid w:val="0BBDF963"/>
    <w:rsid w:val="0BF0D609"/>
    <w:rsid w:val="0C9D06C0"/>
    <w:rsid w:val="0CFEB6AE"/>
    <w:rsid w:val="0D1E35D7"/>
    <w:rsid w:val="0D24B900"/>
    <w:rsid w:val="0F31C2DF"/>
    <w:rsid w:val="0F77BD5F"/>
    <w:rsid w:val="102E4745"/>
    <w:rsid w:val="11E83CE0"/>
    <w:rsid w:val="15F06A17"/>
    <w:rsid w:val="1806E2A9"/>
    <w:rsid w:val="19F8B67F"/>
    <w:rsid w:val="1AEC7B1B"/>
    <w:rsid w:val="1B11C59D"/>
    <w:rsid w:val="1C522F6A"/>
    <w:rsid w:val="1D9542D9"/>
    <w:rsid w:val="1EEA46C1"/>
    <w:rsid w:val="2238448A"/>
    <w:rsid w:val="22576684"/>
    <w:rsid w:val="2517D339"/>
    <w:rsid w:val="255DBB3F"/>
    <w:rsid w:val="25BE6FC4"/>
    <w:rsid w:val="27FA5670"/>
    <w:rsid w:val="2972B52B"/>
    <w:rsid w:val="2A30FC5F"/>
    <w:rsid w:val="2B9B8C88"/>
    <w:rsid w:val="2DB2B4CB"/>
    <w:rsid w:val="2E20EA75"/>
    <w:rsid w:val="2F2FD204"/>
    <w:rsid w:val="2F3CEC88"/>
    <w:rsid w:val="2F86FE6A"/>
    <w:rsid w:val="2FCDED97"/>
    <w:rsid w:val="300AE8F7"/>
    <w:rsid w:val="30A642AC"/>
    <w:rsid w:val="3155AEFC"/>
    <w:rsid w:val="32C25DD2"/>
    <w:rsid w:val="33F8508A"/>
    <w:rsid w:val="34587B07"/>
    <w:rsid w:val="34944D6D"/>
    <w:rsid w:val="34B8C0AF"/>
    <w:rsid w:val="37A67972"/>
    <w:rsid w:val="3842A1B2"/>
    <w:rsid w:val="385D32A5"/>
    <w:rsid w:val="3A669A92"/>
    <w:rsid w:val="3AF58A27"/>
    <w:rsid w:val="3B12249B"/>
    <w:rsid w:val="3C0B20CC"/>
    <w:rsid w:val="3CB38F55"/>
    <w:rsid w:val="3CD284FB"/>
    <w:rsid w:val="40E55175"/>
    <w:rsid w:val="418CF94C"/>
    <w:rsid w:val="4201B044"/>
    <w:rsid w:val="44C3F7FE"/>
    <w:rsid w:val="45CEB71A"/>
    <w:rsid w:val="470FF179"/>
    <w:rsid w:val="4889C6FE"/>
    <w:rsid w:val="4C761335"/>
    <w:rsid w:val="4CDBEA4B"/>
    <w:rsid w:val="4E7A8544"/>
    <w:rsid w:val="51140D7C"/>
    <w:rsid w:val="534A2C24"/>
    <w:rsid w:val="53EE2702"/>
    <w:rsid w:val="5580D308"/>
    <w:rsid w:val="569306BE"/>
    <w:rsid w:val="57EAFF14"/>
    <w:rsid w:val="59C40FC8"/>
    <w:rsid w:val="59F2EE84"/>
    <w:rsid w:val="5B922933"/>
    <w:rsid w:val="5C6D8258"/>
    <w:rsid w:val="5F673276"/>
    <w:rsid w:val="5F76150E"/>
    <w:rsid w:val="6114C00D"/>
    <w:rsid w:val="6166DA9E"/>
    <w:rsid w:val="61691FA0"/>
    <w:rsid w:val="63A2D12C"/>
    <w:rsid w:val="63DDB77C"/>
    <w:rsid w:val="6440EB50"/>
    <w:rsid w:val="64D7919A"/>
    <w:rsid w:val="6647555F"/>
    <w:rsid w:val="676DD11A"/>
    <w:rsid w:val="67A5531C"/>
    <w:rsid w:val="68AEE46D"/>
    <w:rsid w:val="692C3DDB"/>
    <w:rsid w:val="69305F07"/>
    <w:rsid w:val="6ADC7D93"/>
    <w:rsid w:val="6BEBB082"/>
    <w:rsid w:val="6CEA4608"/>
    <w:rsid w:val="6D2B6B2D"/>
    <w:rsid w:val="6FFD487B"/>
    <w:rsid w:val="7080EC84"/>
    <w:rsid w:val="756F0813"/>
    <w:rsid w:val="7748A3A2"/>
    <w:rsid w:val="784BB2F2"/>
    <w:rsid w:val="7A76E3FB"/>
    <w:rsid w:val="7AC6FA4A"/>
    <w:rsid w:val="7D0A355E"/>
    <w:rsid w:val="7D832836"/>
    <w:rsid w:val="7E17DD2B"/>
    <w:rsid w:val="7F305844"/>
    <w:rsid w:val="7F7DD336"/>
    <w:rsid w:val="7FC988B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56C827"/>
  <w15:docId w15:val="{0BB03058-563F-4CD7-BF2C-38B7DEFA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46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C17BD"/>
    <w:pPr>
      <w:ind w:left="720"/>
      <w:contextualSpacing/>
    </w:pPr>
  </w:style>
  <w:style w:type="character" w:styleId="Kommentarzeichen">
    <w:name w:val="annotation reference"/>
    <w:basedOn w:val="Absatz-Standardschriftart"/>
    <w:uiPriority w:val="99"/>
    <w:semiHidden/>
    <w:unhideWhenUsed/>
    <w:rsid w:val="005E1CB1"/>
    <w:rPr>
      <w:sz w:val="16"/>
      <w:szCs w:val="16"/>
    </w:rPr>
  </w:style>
  <w:style w:type="paragraph" w:styleId="Kommentartext">
    <w:name w:val="annotation text"/>
    <w:basedOn w:val="Standard"/>
    <w:link w:val="KommentartextZchn"/>
    <w:uiPriority w:val="99"/>
    <w:semiHidden/>
    <w:unhideWhenUsed/>
    <w:rsid w:val="005E1C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1CB1"/>
    <w:rPr>
      <w:sz w:val="20"/>
      <w:szCs w:val="20"/>
    </w:rPr>
  </w:style>
  <w:style w:type="paragraph" w:styleId="Kommentarthema">
    <w:name w:val="annotation subject"/>
    <w:basedOn w:val="Kommentartext"/>
    <w:next w:val="Kommentartext"/>
    <w:link w:val="KommentarthemaZchn"/>
    <w:uiPriority w:val="99"/>
    <w:semiHidden/>
    <w:unhideWhenUsed/>
    <w:rsid w:val="005E1CB1"/>
    <w:rPr>
      <w:b/>
      <w:bCs/>
    </w:rPr>
  </w:style>
  <w:style w:type="character" w:customStyle="1" w:styleId="KommentarthemaZchn">
    <w:name w:val="Kommentarthema Zchn"/>
    <w:basedOn w:val="KommentartextZchn"/>
    <w:link w:val="Kommentarthema"/>
    <w:uiPriority w:val="99"/>
    <w:semiHidden/>
    <w:rsid w:val="005E1CB1"/>
    <w:rPr>
      <w:b/>
      <w:bCs/>
      <w:sz w:val="20"/>
      <w:szCs w:val="20"/>
    </w:rPr>
  </w:style>
  <w:style w:type="paragraph" w:styleId="Sprechblasentext">
    <w:name w:val="Balloon Text"/>
    <w:basedOn w:val="Standard"/>
    <w:link w:val="SprechblasentextZchn"/>
    <w:uiPriority w:val="99"/>
    <w:semiHidden/>
    <w:unhideWhenUsed/>
    <w:rsid w:val="005E1C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1CB1"/>
    <w:rPr>
      <w:rFonts w:ascii="Segoe UI" w:hAnsi="Segoe UI" w:cs="Segoe UI"/>
      <w:sz w:val="18"/>
      <w:szCs w:val="18"/>
    </w:rPr>
  </w:style>
  <w:style w:type="table" w:customStyle="1" w:styleId="EinfacheTabelle31">
    <w:name w:val="Einfache Tabelle 31"/>
    <w:basedOn w:val="NormaleTabelle"/>
    <w:uiPriority w:val="43"/>
    <w:rsid w:val="006F052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Untertitel">
    <w:name w:val="Subtitle"/>
    <w:basedOn w:val="Standard"/>
    <w:next w:val="Standard"/>
    <w:link w:val="UntertitelZchn"/>
    <w:uiPriority w:val="11"/>
    <w:qFormat/>
    <w:rsid w:val="00D87EA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87EA6"/>
    <w:rPr>
      <w:rFonts w:eastAsiaTheme="minorEastAsia"/>
      <w:color w:val="5A5A5A" w:themeColor="text1" w:themeTint="A5"/>
      <w:spacing w:val="15"/>
    </w:rPr>
  </w:style>
  <w:style w:type="paragraph" w:styleId="Kopfzeile">
    <w:name w:val="header"/>
    <w:basedOn w:val="Standard"/>
    <w:link w:val="KopfzeileZchn"/>
    <w:uiPriority w:val="99"/>
    <w:unhideWhenUsed/>
    <w:rsid w:val="0064057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057C"/>
  </w:style>
  <w:style w:type="paragraph" w:styleId="Fuzeile">
    <w:name w:val="footer"/>
    <w:basedOn w:val="Standard"/>
    <w:link w:val="FuzeileZchn"/>
    <w:uiPriority w:val="99"/>
    <w:unhideWhenUsed/>
    <w:rsid w:val="0064057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057C"/>
  </w:style>
  <w:style w:type="paragraph" w:styleId="Funotentext">
    <w:name w:val="footnote text"/>
    <w:basedOn w:val="Standard"/>
    <w:link w:val="FunotentextZchn"/>
    <w:uiPriority w:val="99"/>
    <w:semiHidden/>
    <w:unhideWhenUsed/>
    <w:rsid w:val="00D9493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9493A"/>
    <w:rPr>
      <w:sz w:val="20"/>
      <w:szCs w:val="20"/>
    </w:rPr>
  </w:style>
  <w:style w:type="character" w:styleId="Funotenzeichen">
    <w:name w:val="footnote reference"/>
    <w:basedOn w:val="Absatz-Standardschriftart"/>
    <w:uiPriority w:val="99"/>
    <w:semiHidden/>
    <w:unhideWhenUsed/>
    <w:rsid w:val="00D949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5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56861-40C7-48E4-AF5A-27A65369C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1143</Words>
  <Characters>7206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Lehnis, Ulrike;Kabsch, Jonas;Andreas Riesterer;Hesse, Klaus</dc:creator>
  <cp:keywords/>
  <cp:lastModifiedBy>Ströbl, Ulrike</cp:lastModifiedBy>
  <cp:revision>3</cp:revision>
  <dcterms:created xsi:type="dcterms:W3CDTF">2023-07-11T14:09:00Z</dcterms:created>
  <dcterms:modified xsi:type="dcterms:W3CDTF">2023-07-11T14:09:00Z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0x010100A061D4D713632743A7AEF16E10CE5F40</vt:lpwstr>
  </property>
</Properties>
</file>